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21E4E" w14:textId="77777777" w:rsidR="0087753A" w:rsidRDefault="00000000">
      <w:pPr>
        <w:spacing w:before="480" w:after="120"/>
        <w:jc w:val="center"/>
      </w:pPr>
      <w:r>
        <w:rPr>
          <w:b/>
          <w:bCs/>
          <w:caps/>
          <w:color w:val="888888"/>
          <w:spacing w:val="120"/>
          <w:sz w:val="28"/>
          <w:szCs w:val="28"/>
        </w:rPr>
        <w:t>TECHNICAL WHITE PAPER</w:t>
      </w:r>
    </w:p>
    <w:p w14:paraId="1E51878E" w14:textId="77777777" w:rsidR="0087753A" w:rsidRDefault="00000000">
      <w:pPr>
        <w:spacing w:before="160" w:after="80"/>
        <w:jc w:val="center"/>
      </w:pPr>
      <w:r>
        <w:rPr>
          <w:b/>
          <w:bCs/>
          <w:color w:val="1A3843"/>
          <w:sz w:val="48"/>
          <w:szCs w:val="48"/>
        </w:rPr>
        <w:t>Wind Turbine Ground-Borne Vibration:</w:t>
      </w:r>
    </w:p>
    <w:p w14:paraId="38CA17AC" w14:textId="77777777" w:rsidR="0087753A" w:rsidRDefault="00000000">
      <w:pPr>
        <w:spacing w:after="320"/>
        <w:jc w:val="center"/>
      </w:pPr>
      <w:r>
        <w:rPr>
          <w:b/>
          <w:bCs/>
          <w:color w:val="1579B5"/>
          <w:sz w:val="36"/>
          <w:szCs w:val="36"/>
        </w:rPr>
        <w:t>Why A-Weighted Airborne Standards Fail to Detect the Dominant Harm Mechanism</w:t>
      </w:r>
    </w:p>
    <w:p w14:paraId="3BFAE718" w14:textId="77777777" w:rsidR="0087753A" w:rsidRDefault="0087753A">
      <w:pPr>
        <w:pBdr>
          <w:bottom w:val="single" w:sz="6" w:space="1" w:color="1579B5"/>
        </w:pBdr>
        <w:spacing w:before="240" w:after="240"/>
      </w:pPr>
    </w:p>
    <w:p w14:paraId="238053BF" w14:textId="77777777" w:rsidR="0087753A" w:rsidRDefault="00000000">
      <w:pPr>
        <w:spacing w:before="200" w:after="60"/>
        <w:jc w:val="center"/>
      </w:pPr>
      <w:r>
        <w:rPr>
          <w:b/>
          <w:bCs/>
          <w:color w:val="1A3843"/>
          <w:sz w:val="28"/>
          <w:szCs w:val="28"/>
        </w:rPr>
        <w:t>Dave Ward</w:t>
      </w:r>
    </w:p>
    <w:p w14:paraId="0D197991" w14:textId="77777777" w:rsidR="0087753A" w:rsidRDefault="00000000">
      <w:pPr>
        <w:spacing w:after="60"/>
        <w:jc w:val="center"/>
      </w:pPr>
      <w:r>
        <w:rPr>
          <w:color w:val="444444"/>
        </w:rPr>
        <w:t xml:space="preserve">Inventor, Ward Effect® </w:t>
      </w:r>
      <w:proofErr w:type="gramStart"/>
      <w:r>
        <w:rPr>
          <w:color w:val="444444"/>
        </w:rPr>
        <w:t>Technology  |</w:t>
      </w:r>
      <w:proofErr w:type="gramEnd"/>
      <w:r>
        <w:rPr>
          <w:color w:val="444444"/>
        </w:rPr>
        <w:t xml:space="preserve">  Six Sigma Black </w:t>
      </w:r>
      <w:proofErr w:type="gramStart"/>
      <w:r>
        <w:rPr>
          <w:color w:val="444444"/>
        </w:rPr>
        <w:t>Belt  |</w:t>
      </w:r>
      <w:proofErr w:type="gramEnd"/>
      <w:r>
        <w:rPr>
          <w:color w:val="444444"/>
        </w:rPr>
        <w:t xml:space="preserve">  50+ Years Acoustic Research</w:t>
      </w:r>
    </w:p>
    <w:p w14:paraId="2559657A" w14:textId="77777777" w:rsidR="0087753A" w:rsidRDefault="00000000">
      <w:pPr>
        <w:spacing w:after="60"/>
        <w:jc w:val="center"/>
      </w:pPr>
      <w:r>
        <w:rPr>
          <w:color w:val="444444"/>
        </w:rPr>
        <w:t>Patent Portfolio: NZ 739314, NZ 770993, NZ 778527, USA, India, Philippines</w:t>
      </w:r>
    </w:p>
    <w:p w14:paraId="7196BCD4" w14:textId="77777777" w:rsidR="0087753A" w:rsidRDefault="00000000">
      <w:pPr>
        <w:spacing w:after="60"/>
        <w:jc w:val="center"/>
      </w:pPr>
      <w:r>
        <w:rPr>
          <w:color w:val="444444"/>
        </w:rPr>
        <w:t>Patent Pending: NZ 831742 (Library-Configured Acoustic Sensing and Actuation System)</w:t>
      </w:r>
    </w:p>
    <w:p w14:paraId="3ED7041B" w14:textId="77777777" w:rsidR="0087753A" w:rsidRDefault="00000000">
      <w:pPr>
        <w:spacing w:after="60"/>
        <w:jc w:val="center"/>
      </w:pPr>
      <w:r>
        <w:rPr>
          <w:color w:val="1579B5"/>
        </w:rPr>
        <w:t xml:space="preserve">Contact: </w:t>
      </w:r>
      <w:proofErr w:type="gramStart"/>
      <w:r>
        <w:rPr>
          <w:color w:val="1579B5"/>
        </w:rPr>
        <w:t>resonancesensor@gmail.com  |</w:t>
      </w:r>
      <w:proofErr w:type="gramEnd"/>
      <w:r>
        <w:rPr>
          <w:color w:val="1579B5"/>
        </w:rPr>
        <w:t xml:space="preserve">  </w:t>
      </w:r>
      <w:proofErr w:type="gramStart"/>
      <w:r>
        <w:rPr>
          <w:color w:val="1579B5"/>
        </w:rPr>
        <w:t>wardscope.com  |</w:t>
      </w:r>
      <w:proofErr w:type="gramEnd"/>
      <w:r>
        <w:rPr>
          <w:color w:val="1579B5"/>
        </w:rPr>
        <w:t xml:space="preserve">  wardeffect.com</w:t>
      </w:r>
    </w:p>
    <w:p w14:paraId="59C559A5" w14:textId="77777777" w:rsidR="0087753A" w:rsidRDefault="0087753A">
      <w:pPr>
        <w:pBdr>
          <w:bottom w:val="single" w:sz="6" w:space="1" w:color="1579B5"/>
        </w:pBdr>
        <w:spacing w:before="240" w:after="240"/>
      </w:pPr>
    </w:p>
    <w:p w14:paraId="030D06FB" w14:textId="77777777" w:rsidR="0087753A" w:rsidRDefault="00000000">
      <w:pPr>
        <w:pStyle w:val="Heading1"/>
      </w:pPr>
      <w:r>
        <w:t>1.  Two Transmission Pathways</w:t>
      </w:r>
    </w:p>
    <w:p w14:paraId="25D17E36" w14:textId="77777777" w:rsidR="0087753A" w:rsidRDefault="00000000">
      <w:pPr>
        <w:spacing w:before="80" w:after="120"/>
        <w:jc w:val="both"/>
      </w:pPr>
      <w:r>
        <w:t>Wind turbines transfer energy into their surroundings through two physically distinct mechanisms that must be treated separately in any rigorous impact assessment.</w:t>
      </w:r>
    </w:p>
    <w:p w14:paraId="70E3ABD8" w14:textId="72D925FD" w:rsidR="0087753A" w:rsidRDefault="00FD180C">
      <w:pPr>
        <w:pStyle w:val="Heading2"/>
      </w:pPr>
      <w:r>
        <w:t>1.1 The</w:t>
      </w:r>
      <w:r w:rsidR="00000000">
        <w:t xml:space="preserve"> Energy Disparity: Why the Two Pathways Are Not Comparable</w:t>
      </w:r>
    </w:p>
    <w:p w14:paraId="69446039" w14:textId="77777777" w:rsidR="0087753A" w:rsidRDefault="00000000">
      <w:pPr>
        <w:spacing w:before="80" w:after="120"/>
        <w:jc w:val="both"/>
      </w:pPr>
      <w:r>
        <w:t>Acoustic energy flux is proportional to the density of the transmission medium and the square of the particle velocity. Air has a density of approximately 1.2 kg/m³. Soil ranges from 1,500 to 2,000 kg/m³. Bedrock ranges from 2,000 to 2,700 kg/m³. The same mechanical displacement amplitude in rock therefore carries over 1,000 times the energy of the equivalent displacement in air. This is a difference of three orders of magnitude in energy-carrying capacity.</w:t>
      </w:r>
    </w:p>
    <w:p w14:paraId="7F2C5421" w14:textId="77777777" w:rsidR="0087753A" w:rsidRDefault="00000000">
      <w:pPr>
        <w:spacing w:before="80" w:after="120"/>
        <w:jc w:val="both"/>
      </w:pPr>
      <w:r>
        <w:t>Airborne sound from a wind turbine at residential distances arrives as low-amplitude pressure pulses. Geometric spreading alone reduces intensity by 6 dB with every doubling of distance. Atmospheric absorption and terrain effects add further attenuation.</w:t>
      </w:r>
    </w:p>
    <w:p w14:paraId="62A465A1" w14:textId="77777777" w:rsidR="0087753A" w:rsidRDefault="00000000">
      <w:pPr>
        <w:spacing w:before="80" w:after="120"/>
        <w:jc w:val="both"/>
      </w:pPr>
      <w:r>
        <w:t xml:space="preserve">Ground-borne waves propagate through a continuous solid medium at far lower attenuation rates, particularly at the low frequencies produced by blade rotation. The mechanical energy driving a wind turbine foundation — thousands of </w:t>
      </w:r>
      <w:proofErr w:type="spellStart"/>
      <w:r>
        <w:t>tonnes</w:t>
      </w:r>
      <w:proofErr w:type="spellEnd"/>
      <w:r>
        <w:t xml:space="preserve"> of rotating mass and structural loading — couples directly into the ground.</w:t>
      </w:r>
    </w:p>
    <w:p w14:paraId="57DBC434" w14:textId="77777777" w:rsidR="0087753A" w:rsidRDefault="00000000">
      <w:pPr>
        <w:pBdr>
          <w:left w:val="single" w:sz="12" w:space="12" w:color="1579B5"/>
        </w:pBdr>
        <w:spacing w:before="200" w:after="200"/>
        <w:ind w:left="440"/>
        <w:jc w:val="both"/>
      </w:pPr>
      <w:r>
        <w:rPr>
          <w:b/>
          <w:bCs/>
          <w:i/>
          <w:iCs/>
          <w:color w:val="1A3843"/>
        </w:rPr>
        <w:t xml:space="preserve">Consider the analogy of a tsunami versus a typhoon. A Category 5 typhoon carries enormous airborne energy. Yet a tsunami 1 </w:t>
      </w:r>
      <w:proofErr w:type="spellStart"/>
      <w:r>
        <w:rPr>
          <w:b/>
          <w:bCs/>
          <w:i/>
          <w:iCs/>
          <w:color w:val="1A3843"/>
        </w:rPr>
        <w:t>metre</w:t>
      </w:r>
      <w:proofErr w:type="spellEnd"/>
      <w:r>
        <w:rPr>
          <w:b/>
          <w:bCs/>
          <w:i/>
          <w:iCs/>
          <w:color w:val="1A3843"/>
        </w:rPr>
        <w:t xml:space="preserve"> high in open ocean, invisible and unfelt at the surface, carries sufficient energy to devastate coastlines hundreds of </w:t>
      </w:r>
      <w:proofErr w:type="spellStart"/>
      <w:r>
        <w:rPr>
          <w:b/>
          <w:bCs/>
          <w:i/>
          <w:iCs/>
          <w:color w:val="1A3843"/>
        </w:rPr>
        <w:t>kilometres</w:t>
      </w:r>
      <w:proofErr w:type="spellEnd"/>
      <w:r>
        <w:rPr>
          <w:b/>
          <w:bCs/>
          <w:i/>
          <w:iCs/>
          <w:color w:val="1A3843"/>
        </w:rPr>
        <w:t xml:space="preserve"> distant. The difference is medium density. Water is 800 times denser than air. Rock is more than 1,000 times denser. The current regulatory framework measures the typhoon and ignores the tsunami.</w:t>
      </w:r>
    </w:p>
    <w:p w14:paraId="2502DC41" w14:textId="20B414F6" w:rsidR="0087753A" w:rsidRDefault="00FD180C">
      <w:pPr>
        <w:pStyle w:val="Heading2"/>
      </w:pPr>
      <w:r>
        <w:lastRenderedPageBreak/>
        <w:t>1.2 Airborne</w:t>
      </w:r>
      <w:r w:rsidR="00000000">
        <w:t xml:space="preserve"> Transmission: The Low-Energy Pathway</w:t>
      </w:r>
    </w:p>
    <w:p w14:paraId="79C86986" w14:textId="4B8B843E" w:rsidR="0087753A" w:rsidRDefault="00000000">
      <w:pPr>
        <w:spacing w:before="80" w:after="120"/>
        <w:jc w:val="both"/>
      </w:pPr>
      <w:r>
        <w:t xml:space="preserve">Aerodynamic and mechanical noise propagates through air as pressure waves. A-weighted measurement at property boundaries typically records 35–45 dB(A) at residential distances — representing acoustic intensities in the range of 0.000003 watts per square </w:t>
      </w:r>
      <w:r w:rsidR="00FD180C">
        <w:t>meter</w:t>
      </w:r>
      <w:r>
        <w:t xml:space="preserve">. This is the </w:t>
      </w:r>
      <w:r w:rsidR="00FD180C">
        <w:t>lower energy</w:t>
      </w:r>
      <w:r>
        <w:t xml:space="preserve"> of the two pathways by a very large margin.</w:t>
      </w:r>
    </w:p>
    <w:p w14:paraId="18853790" w14:textId="099ECC66" w:rsidR="0087753A" w:rsidRDefault="00FD180C">
      <w:pPr>
        <w:pStyle w:val="Heading2"/>
      </w:pPr>
      <w:r>
        <w:t>1.3 Ground</w:t>
      </w:r>
      <w:r w:rsidR="00000000">
        <w:t>-Borne Transmission: The High-Energy Pathway</w:t>
      </w:r>
    </w:p>
    <w:p w14:paraId="49B148C8" w14:textId="1ACA01E6" w:rsidR="0087753A" w:rsidRDefault="00000000">
      <w:pPr>
        <w:spacing w:before="80" w:after="120"/>
        <w:jc w:val="both"/>
      </w:pPr>
      <w:r>
        <w:t xml:space="preserve">Wind turbine foundations transmit mechanical and aerodynamic forces directly into the ground as compressional (P-waves) and shear (S-waves) body waves. However, a significant portion of the energy propagates as Rayleigh waves — surface waves that travel along the ground-air interface with elliptical particle motion. These low-frequency components (typically 1–10 Hz) experience particularly low attenuation over distance, allowing substantial energy to reach building foundations </w:t>
      </w:r>
      <w:r w:rsidR="00FD180C">
        <w:t>kilometers</w:t>
      </w:r>
      <w:r>
        <w:t xml:space="preserve"> away.</w:t>
      </w:r>
    </w:p>
    <w:p w14:paraId="314206B6" w14:textId="36C71945" w:rsidR="0087753A" w:rsidRDefault="00000000">
      <w:pPr>
        <w:spacing w:before="80" w:after="120"/>
        <w:jc w:val="both"/>
      </w:pPr>
      <w:r>
        <w:t xml:space="preserve">Riverbeds and layered geology act as natural waveguides, </w:t>
      </w:r>
      <w:proofErr w:type="gramStart"/>
      <w:r>
        <w:t>similar to</w:t>
      </w:r>
      <w:proofErr w:type="gramEnd"/>
      <w:r>
        <w:t xml:space="preserve"> optical </w:t>
      </w:r>
      <w:r w:rsidR="00FD180C">
        <w:t>fibers</w:t>
      </w:r>
      <w:r>
        <w:t xml:space="preserve">. Waves undergo repeated internal reflections at material boundaries (e.g., water-saturated sediment vs. surrounding soil or bedrock), </w:t>
      </w:r>
      <w:r w:rsidR="00FD180C">
        <w:t>channeling</w:t>
      </w:r>
      <w:r>
        <w:t xml:space="preserve"> energy efficiently along the riverbed with minimal loss. This waveguide effect explains why vibration can travel preferentially along river valleys while attenuating rapidly in other directions.</w:t>
      </w:r>
    </w:p>
    <w:p w14:paraId="4D0836BA" w14:textId="77777777" w:rsidR="0087753A" w:rsidRDefault="00000000">
      <w:pPr>
        <w:spacing w:before="80" w:after="120"/>
        <w:jc w:val="both"/>
      </w:pPr>
      <w:r>
        <w:t>When this ground-borne energy reaches a building foundation, it excites the structure at its own natural resonant frequencies. Where these coincide with the blade-pass frequency or its harmonics, sympathetic resonance occurs — the building amplifies the signal. The structure then re-radiates energy across a broad spectrum as audible noise and tactile vibration experienced by occupants.</w:t>
      </w:r>
    </w:p>
    <w:p w14:paraId="4F2869C4" w14:textId="77777777" w:rsidR="0087753A" w:rsidRDefault="00000000">
      <w:pPr>
        <w:pBdr>
          <w:left w:val="single" w:sz="12" w:space="12" w:color="1579B5"/>
        </w:pBdr>
        <w:spacing w:before="200" w:after="200"/>
        <w:ind w:left="440"/>
        <w:jc w:val="both"/>
      </w:pPr>
      <w:r>
        <w:rPr>
          <w:b/>
          <w:bCs/>
          <w:i/>
          <w:iCs/>
          <w:color w:val="1A3843"/>
        </w:rPr>
        <w:t>The current regulatory framework assesses the low-energy pathway and ignores the high-energy pathway entirely. This is not a conservative approach to harm assessment. It is the inversion of one.</w:t>
      </w:r>
    </w:p>
    <w:p w14:paraId="5C6E6921" w14:textId="77777777" w:rsidR="0087753A" w:rsidRDefault="00000000">
      <w:pPr>
        <w:spacing w:before="200" w:after="40"/>
        <w:jc w:val="center"/>
      </w:pPr>
      <w:r>
        <w:rPr>
          <w:noProof/>
        </w:rPr>
        <w:drawing>
          <wp:inline distT="0" distB="0" distL="0" distR="0" wp14:anchorId="2958ECD5" wp14:editId="7E93E583">
            <wp:extent cx="3666589" cy="2459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3692271" cy="2477094"/>
                    </a:xfrm>
                    <a:prstGeom prst="rect">
                      <a:avLst/>
                    </a:prstGeom>
                  </pic:spPr>
                </pic:pic>
              </a:graphicData>
            </a:graphic>
          </wp:inline>
        </w:drawing>
      </w:r>
    </w:p>
    <w:p w14:paraId="12C40A88" w14:textId="77777777" w:rsidR="0087753A" w:rsidRDefault="00000000">
      <w:pPr>
        <w:spacing w:before="80" w:after="240"/>
        <w:jc w:val="center"/>
      </w:pPr>
      <w:r>
        <w:rPr>
          <w:b/>
          <w:bCs/>
          <w:color w:val="1579B5"/>
          <w:sz w:val="19"/>
          <w:szCs w:val="19"/>
        </w:rPr>
        <w:t xml:space="preserve">Figure 1: </w:t>
      </w:r>
      <w:r>
        <w:rPr>
          <w:i/>
          <w:iCs/>
          <w:color w:val="444444"/>
          <w:sz w:val="19"/>
          <w:szCs w:val="19"/>
        </w:rPr>
        <w:t>The complete ground-borne vibration pathway. P-waves (compressional), S-waves (shear), and Rayleigh waves (surface) propagate from the turbine foundation through Riverbed, Soil, Sand, Gravel, and Bedrock layers. The Riverbed acts as a natural Waveguide. Energy enters the building foundation and re-radiates as audible sound and tactile vibration experienced by the occupant.</w:t>
      </w:r>
    </w:p>
    <w:p w14:paraId="05D4BA55" w14:textId="77777777" w:rsidR="0087753A" w:rsidRDefault="00000000">
      <w:pPr>
        <w:pStyle w:val="Heading1"/>
      </w:pPr>
      <w:r>
        <w:lastRenderedPageBreak/>
        <w:t>2.  Why Ground-Borne Transmission Is Geology-Dependent</w:t>
      </w:r>
    </w:p>
    <w:p w14:paraId="4CFD07D3" w14:textId="77777777" w:rsidR="0087753A" w:rsidRDefault="00000000">
      <w:pPr>
        <w:spacing w:before="80" w:after="120"/>
        <w:jc w:val="both"/>
      </w:pPr>
      <w:r>
        <w:t>The propagation of seismic energy through ground is determined by the mechanical properties of the transmission medium. Unlike air, which has relatively uniform acoustic properties, geological materials vary enormously:</w:t>
      </w:r>
    </w:p>
    <w:p w14:paraId="2222054B" w14:textId="77777777" w:rsidR="0087753A" w:rsidRDefault="00000000">
      <w:pPr>
        <w:pStyle w:val="ListParagraph"/>
        <w:numPr>
          <w:ilvl w:val="0"/>
          <w:numId w:val="2"/>
        </w:numPr>
        <w:spacing w:before="60" w:after="60"/>
      </w:pPr>
      <w:r>
        <w:t>Clay soils: high attenuation, poor transmission over distance</w:t>
      </w:r>
    </w:p>
    <w:p w14:paraId="0E31C758" w14:textId="77777777" w:rsidR="0087753A" w:rsidRDefault="00000000">
      <w:pPr>
        <w:pStyle w:val="ListParagraph"/>
        <w:numPr>
          <w:ilvl w:val="0"/>
          <w:numId w:val="2"/>
        </w:numPr>
        <w:spacing w:before="60" w:after="60"/>
      </w:pPr>
      <w:r>
        <w:t xml:space="preserve">Sand and </w:t>
      </w:r>
      <w:proofErr w:type="gramStart"/>
      <w:r>
        <w:t>gravel:</w:t>
      </w:r>
      <w:proofErr w:type="gramEnd"/>
      <w:r>
        <w:t xml:space="preserve"> moderate transmission, frequency-selective</w:t>
      </w:r>
    </w:p>
    <w:p w14:paraId="26B93E2E" w14:textId="77777777" w:rsidR="0087753A" w:rsidRDefault="00000000">
      <w:pPr>
        <w:pStyle w:val="ListParagraph"/>
        <w:numPr>
          <w:ilvl w:val="0"/>
          <w:numId w:val="2"/>
        </w:numPr>
        <w:spacing w:before="60" w:after="60"/>
      </w:pPr>
      <w:r>
        <w:t>Sandstone and limestone: efficient transmission, low attenuation</w:t>
      </w:r>
    </w:p>
    <w:p w14:paraId="2B9341EE" w14:textId="3A4C90CE" w:rsidR="0087753A" w:rsidRDefault="00000000">
      <w:pPr>
        <w:pStyle w:val="ListParagraph"/>
        <w:numPr>
          <w:ilvl w:val="0"/>
          <w:numId w:val="2"/>
        </w:numPr>
        <w:spacing w:before="60" w:after="60"/>
      </w:pPr>
      <w:r>
        <w:t xml:space="preserve">Granite and hard bedrock: excellent transmission with minimal loss over </w:t>
      </w:r>
      <w:r w:rsidR="00FD180C">
        <w:t>kilometers</w:t>
      </w:r>
    </w:p>
    <w:p w14:paraId="4B550B6C" w14:textId="77777777" w:rsidR="0087753A" w:rsidRDefault="00000000">
      <w:pPr>
        <w:pStyle w:val="ListParagraph"/>
        <w:numPr>
          <w:ilvl w:val="0"/>
          <w:numId w:val="2"/>
        </w:numPr>
        <w:spacing w:before="60" w:after="60"/>
      </w:pPr>
      <w:r>
        <w:t>Water-saturated ground and aquifers: highly efficient transmission medium</w:t>
      </w:r>
    </w:p>
    <w:p w14:paraId="18A3FE69" w14:textId="77777777" w:rsidR="0087753A" w:rsidRDefault="0087753A">
      <w:pPr>
        <w:spacing w:before="120"/>
      </w:pPr>
    </w:p>
    <w:p w14:paraId="6663C341" w14:textId="77777777" w:rsidR="0087753A" w:rsidRDefault="00000000">
      <w:pPr>
        <w:spacing w:before="80" w:after="120"/>
        <w:jc w:val="both"/>
      </w:pPr>
      <w:r>
        <w:t xml:space="preserve">Geological discontinuities — faults, bedding plane boundaries, rock type interfaces — act as reflectors and waveguides, creating standing wave patterns in the ground at specific locations. A building situated at a constructive interference node will experience significantly elevated vibration compared to a building 50 </w:t>
      </w:r>
      <w:proofErr w:type="spellStart"/>
      <w:r>
        <w:t>metres</w:t>
      </w:r>
      <w:proofErr w:type="spellEnd"/>
      <w:r>
        <w:t xml:space="preserve"> away at a destructive interference node.</w:t>
      </w:r>
    </w:p>
    <w:p w14:paraId="1C468EE6" w14:textId="77777777" w:rsidR="0087753A" w:rsidRDefault="00000000">
      <w:pPr>
        <w:spacing w:before="80" w:after="120"/>
        <w:jc w:val="both"/>
      </w:pPr>
      <w:r>
        <w:t>This is not theoretical. The same physical principles are applied routinely in seismic hazard assessment, blast vibration monitoring, railway-induced ground vibration assessment, and building isolation design for concert halls and precision manufacturing facilities.</w:t>
      </w:r>
    </w:p>
    <w:p w14:paraId="59E4D1D0" w14:textId="77777777" w:rsidR="0087753A" w:rsidRDefault="00000000">
      <w:pPr>
        <w:spacing w:before="200" w:after="40"/>
        <w:jc w:val="center"/>
      </w:pPr>
      <w:r>
        <w:rPr>
          <w:noProof/>
        </w:rPr>
        <w:drawing>
          <wp:inline distT="0" distB="0" distL="0" distR="0" wp14:anchorId="4DC4341F" wp14:editId="7B1075D4">
            <wp:extent cx="5267325" cy="3533775"/>
            <wp:effectExtent l="0" t="0" r="0" b="0"/>
            <wp:docPr id="2042455813" name="Picture 204245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267325" cy="3533775"/>
                    </a:xfrm>
                    <a:prstGeom prst="rect">
                      <a:avLst/>
                    </a:prstGeom>
                  </pic:spPr>
                </pic:pic>
              </a:graphicData>
            </a:graphic>
          </wp:inline>
        </w:drawing>
      </w:r>
    </w:p>
    <w:p w14:paraId="3A52049C" w14:textId="77777777" w:rsidR="0087753A" w:rsidRDefault="00000000">
      <w:pPr>
        <w:spacing w:before="80" w:after="240"/>
        <w:jc w:val="center"/>
      </w:pPr>
      <w:r>
        <w:rPr>
          <w:b/>
          <w:bCs/>
          <w:color w:val="1579B5"/>
          <w:sz w:val="19"/>
          <w:szCs w:val="19"/>
        </w:rPr>
        <w:t xml:space="preserve">Figure 3: </w:t>
      </w:r>
      <w:r>
        <w:rPr>
          <w:i/>
          <w:iCs/>
          <w:color w:val="444444"/>
          <w:sz w:val="19"/>
          <w:szCs w:val="19"/>
        </w:rPr>
        <w:t xml:space="preserve">Ground-borne vibration and geological waveguides. Clay soil attenuates rapidly; sandstone and granitic bedrock conduct with low attenuation over </w:t>
      </w:r>
      <w:proofErr w:type="spellStart"/>
      <w:r>
        <w:rPr>
          <w:i/>
          <w:iCs/>
          <w:color w:val="444444"/>
          <w:sz w:val="19"/>
          <w:szCs w:val="19"/>
        </w:rPr>
        <w:t>kilometres</w:t>
      </w:r>
      <w:proofErr w:type="spellEnd"/>
      <w:r>
        <w:rPr>
          <w:i/>
          <w:iCs/>
          <w:color w:val="444444"/>
          <w:sz w:val="19"/>
          <w:szCs w:val="19"/>
        </w:rPr>
        <w:t>. Riverbed substrates act as highly efficient waveguides. The same turbine produces entirely different ground vibration exposure at buildings depending on local geology.</w:t>
      </w:r>
    </w:p>
    <w:p w14:paraId="3338CCDC" w14:textId="77777777" w:rsidR="00FD180C" w:rsidRDefault="00FD180C">
      <w:pPr>
        <w:rPr>
          <w:b/>
          <w:bCs/>
          <w:color w:val="1579B5"/>
          <w:sz w:val="26"/>
          <w:szCs w:val="26"/>
        </w:rPr>
      </w:pPr>
      <w:r>
        <w:br w:type="page"/>
      </w:r>
    </w:p>
    <w:p w14:paraId="7787ABA9" w14:textId="265C0501" w:rsidR="0087753A" w:rsidRDefault="00000000">
      <w:pPr>
        <w:pStyle w:val="Heading2"/>
      </w:pPr>
      <w:r>
        <w:lastRenderedPageBreak/>
        <w:t>Real-World Analogy: Train Crossing a Bridge</w:t>
      </w:r>
    </w:p>
    <w:p w14:paraId="2AD16E2D" w14:textId="77777777" w:rsidR="0087753A" w:rsidRDefault="00000000">
      <w:pPr>
        <w:spacing w:before="80" w:after="120"/>
        <w:jc w:val="both"/>
      </w:pPr>
      <w:r>
        <w:t>When a train crosses a bridge, the vibration travels efficiently along the riverbed — a highly efficient geological waveguide — through the ground. Some houses experience strong audible noise and tactile vibration because the ground-borne energy excites their natural resonant frequencies. Other houses at similar air-distances but off the waveguide path notice little to no effect. This is the exact same mechanism as wind turbine ground-borne vibration.</w:t>
      </w:r>
    </w:p>
    <w:p w14:paraId="3F7C90E2" w14:textId="77777777" w:rsidR="0087753A" w:rsidRDefault="00000000">
      <w:pPr>
        <w:spacing w:before="200" w:after="40"/>
        <w:jc w:val="center"/>
      </w:pPr>
      <w:r>
        <w:rPr>
          <w:noProof/>
        </w:rPr>
        <w:drawing>
          <wp:inline distT="0" distB="0" distL="0" distR="0" wp14:anchorId="41854DC9" wp14:editId="3205F6F4">
            <wp:extent cx="5267325" cy="3533775"/>
            <wp:effectExtent l="0" t="0" r="0" b="0"/>
            <wp:docPr id="541075078" name="Picture 54107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267325" cy="3533775"/>
                    </a:xfrm>
                    <a:prstGeom prst="rect">
                      <a:avLst/>
                    </a:prstGeom>
                  </pic:spPr>
                </pic:pic>
              </a:graphicData>
            </a:graphic>
          </wp:inline>
        </w:drawing>
      </w:r>
    </w:p>
    <w:p w14:paraId="28CF1475" w14:textId="77777777" w:rsidR="0087753A" w:rsidRDefault="00000000">
      <w:pPr>
        <w:spacing w:before="80" w:after="240"/>
        <w:jc w:val="center"/>
      </w:pPr>
      <w:r>
        <w:rPr>
          <w:b/>
          <w:bCs/>
          <w:color w:val="1579B5"/>
          <w:sz w:val="19"/>
          <w:szCs w:val="19"/>
        </w:rPr>
        <w:t xml:space="preserve">Figure 6a: </w:t>
      </w:r>
      <w:r>
        <w:rPr>
          <w:i/>
          <w:iCs/>
          <w:color w:val="444444"/>
          <w:sz w:val="19"/>
          <w:szCs w:val="19"/>
        </w:rPr>
        <w:t>Train crossing a bridge — riverbed waveguide mechanism. Vibration propagates along the saturated riverbed substrate, causing structural resonance in the house directly coupled to the waveguide path. The adjacent house at similar air-distance but off the waveguide path is unaffected.</w:t>
      </w:r>
    </w:p>
    <w:p w14:paraId="2B5084A0" w14:textId="77777777" w:rsidR="0087753A" w:rsidRDefault="00000000">
      <w:pPr>
        <w:pStyle w:val="Heading3"/>
      </w:pPr>
      <w:r>
        <w:t>Satellite Example — Balclutha, New Zealand (Clutha River / Mata-Au)</w:t>
      </w:r>
    </w:p>
    <w:p w14:paraId="4AFCC9D6" w14:textId="77777777" w:rsidR="0087753A" w:rsidRDefault="00000000">
      <w:pPr>
        <w:spacing w:before="80" w:after="120"/>
        <w:jc w:val="both"/>
      </w:pPr>
      <w:r>
        <w:t>The red pin marks a house affected when trains cross the bridge. Vibration propagates along the Clutha River / Mata-Au riverbed, impacting this property through ground transmission and structural resonance. The effect is not noticeable at other houses at similar air-distance when the train passes closer but off the waveguide path.</w:t>
      </w:r>
    </w:p>
    <w:p w14:paraId="5ED7FD2B" w14:textId="77777777" w:rsidR="0087753A" w:rsidRDefault="00000000">
      <w:pPr>
        <w:spacing w:before="200" w:after="40"/>
        <w:jc w:val="center"/>
      </w:pPr>
      <w:r>
        <w:rPr>
          <w:noProof/>
        </w:rPr>
        <w:lastRenderedPageBreak/>
        <w:drawing>
          <wp:inline distT="0" distB="0" distL="0" distR="0" wp14:anchorId="29DFCDCD" wp14:editId="09E6FF2D">
            <wp:extent cx="5267325" cy="3133725"/>
            <wp:effectExtent l="0" t="0" r="0" b="0"/>
            <wp:docPr id="1838234657" name="Picture 183823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267325" cy="3133725"/>
                    </a:xfrm>
                    <a:prstGeom prst="rect">
                      <a:avLst/>
                    </a:prstGeom>
                  </pic:spPr>
                </pic:pic>
              </a:graphicData>
            </a:graphic>
          </wp:inline>
        </w:drawing>
      </w:r>
    </w:p>
    <w:p w14:paraId="1F184014" w14:textId="77777777" w:rsidR="0087753A" w:rsidRDefault="00000000">
      <w:pPr>
        <w:spacing w:before="80" w:after="240"/>
        <w:jc w:val="center"/>
      </w:pPr>
      <w:r>
        <w:rPr>
          <w:b/>
          <w:bCs/>
          <w:color w:val="1579B5"/>
          <w:sz w:val="19"/>
          <w:szCs w:val="19"/>
        </w:rPr>
        <w:t xml:space="preserve">Figure 6b: </w:t>
      </w:r>
      <w:r>
        <w:rPr>
          <w:i/>
          <w:iCs/>
          <w:color w:val="444444"/>
          <w:sz w:val="19"/>
          <w:szCs w:val="19"/>
        </w:rPr>
        <w:t>Satellite image: Balclutha, New Zealand — Clutha River / Mata-Au. The red pin marks the property affected by train-induced ground-borne vibration via the riverbed waveguide. Properties not on the riverbed transmission path at comparable distances report no effect.</w:t>
      </w:r>
    </w:p>
    <w:p w14:paraId="005EF07F" w14:textId="26FC87C0" w:rsidR="0087753A" w:rsidRDefault="00FD180C">
      <w:pPr>
        <w:spacing w:before="200" w:after="40"/>
        <w:jc w:val="center"/>
      </w:pPr>
      <w:r>
        <w:rPr>
          <w:noProof/>
        </w:rPr>
        <w:drawing>
          <wp:inline distT="0" distB="0" distL="0" distR="0" wp14:anchorId="4086A008" wp14:editId="617B6B46">
            <wp:extent cx="5943600" cy="3962400"/>
            <wp:effectExtent l="0" t="0" r="0" b="0"/>
            <wp:docPr id="613858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53CF893" w14:textId="77777777" w:rsidR="0087753A" w:rsidRDefault="00000000">
      <w:pPr>
        <w:spacing w:before="80" w:after="240"/>
        <w:jc w:val="center"/>
      </w:pPr>
      <w:r>
        <w:rPr>
          <w:b/>
          <w:bCs/>
          <w:color w:val="1579B5"/>
          <w:sz w:val="19"/>
          <w:szCs w:val="19"/>
        </w:rPr>
        <w:t xml:space="preserve">Figure 7: </w:t>
      </w:r>
      <w:r>
        <w:rPr>
          <w:i/>
          <w:iCs/>
          <w:color w:val="444444"/>
          <w:sz w:val="19"/>
          <w:szCs w:val="19"/>
        </w:rPr>
        <w:t>Wind turbine foundation and riverbed waveguide transmission path. Seismic energy enters the Soil Layer and Bedrock, couples into the Riverbed (an efficient waveguide), and propagates to a House with High Resonance. This is the mechanism confirmed in the Field Case Study (Section 10).</w:t>
      </w:r>
    </w:p>
    <w:p w14:paraId="1F190156" w14:textId="77777777" w:rsidR="0087753A" w:rsidRDefault="00000000">
      <w:pPr>
        <w:pStyle w:val="Heading1"/>
      </w:pPr>
      <w:r>
        <w:lastRenderedPageBreak/>
        <w:t>3.  Why A-Weighted Measurement Cannot Detect Ground-Borne Harm</w:t>
      </w:r>
    </w:p>
    <w:p w14:paraId="1D55119E" w14:textId="38C2BABE" w:rsidR="0087753A" w:rsidRDefault="005A40AE">
      <w:pPr>
        <w:pStyle w:val="Heading2"/>
      </w:pPr>
      <w:r>
        <w:t>3.1 A</w:t>
      </w:r>
      <w:r w:rsidR="00000000">
        <w:t>-Weighting Was Not Designed for This Application</w:t>
      </w:r>
    </w:p>
    <w:p w14:paraId="639197EA" w14:textId="77777777" w:rsidR="0087753A" w:rsidRDefault="00000000">
      <w:pPr>
        <w:spacing w:before="80" w:after="120"/>
        <w:jc w:val="both"/>
      </w:pPr>
      <w:r>
        <w:t>The A-weighting frequency response curve was developed in the 1930s to approximate the loudness perception of the human auditory cortex for pure tones at moderate levels in quiet environments. It rolls off sharply at low frequencies: approximately 26 dB attenuation at 63 Hz, 16 dB at 125 Hz, and 50–60 dB or more at infrasound frequencies.</w:t>
      </w:r>
    </w:p>
    <w:p w14:paraId="637DCAB7" w14:textId="77777777" w:rsidR="0087753A" w:rsidRDefault="00000000">
      <w:pPr>
        <w:spacing w:before="80" w:after="120"/>
        <w:jc w:val="both"/>
      </w:pPr>
      <w:r>
        <w:t>Wind turbines are not pure tones at moderate levels. They are broadband, low-frequency, amplitude-modulated energy sources. Applying A-weighting systematically eliminates from consideration the very frequency ranges in which ground-borne transmission operates most efficiently and in which peer-reviewed research has identified physiological harm mechanisms.</w:t>
      </w:r>
    </w:p>
    <w:p w14:paraId="6BD6BF18" w14:textId="34900F99" w:rsidR="0087753A" w:rsidRDefault="005A40AE">
      <w:pPr>
        <w:pStyle w:val="Heading2"/>
      </w:pPr>
      <w:r>
        <w:t>3.2 Sympathetic</w:t>
      </w:r>
      <w:r w:rsidR="00000000">
        <w:t xml:space="preserve"> Vibration: The Building Becomes the Source</w:t>
      </w:r>
    </w:p>
    <w:p w14:paraId="286DFC26" w14:textId="77777777" w:rsidR="0087753A" w:rsidRDefault="00000000">
      <w:pPr>
        <w:pBdr>
          <w:left w:val="single" w:sz="12" w:space="12" w:color="1579B5"/>
        </w:pBdr>
        <w:spacing w:before="200" w:after="200"/>
        <w:ind w:left="440"/>
        <w:jc w:val="both"/>
      </w:pPr>
      <w:r>
        <w:rPr>
          <w:b/>
          <w:bCs/>
          <w:i/>
          <w:iCs/>
          <w:color w:val="1A3843"/>
        </w:rPr>
        <w:t>The vibrations experienced by occupants inside affected buildings are not the turbine’s original ground-borne signal. They are generated by the building structure itself, through sympathetic resonance. The building is the source of the perceptible harm — excited into producing it by low-frequency energy it receives through its foundation.</w:t>
      </w:r>
    </w:p>
    <w:p w14:paraId="1E6EFE2C" w14:textId="77777777" w:rsidR="0087753A" w:rsidRDefault="00000000">
      <w:pPr>
        <w:spacing w:before="80" w:after="120"/>
        <w:jc w:val="both"/>
      </w:pPr>
      <w:r>
        <w:t>Ground-borne low-frequency and infrasound energy, often sub-audible at the foundation, enters the building structure. It excites the building at its natural resonant frequencies — typically in the range of 5–80 Hz. The structure then re-radiates this energy across a broad spectrum as audible sound and tactile vibration throughout the interior.</w:t>
      </w:r>
    </w:p>
    <w:p w14:paraId="23199296" w14:textId="77777777" w:rsidR="0087753A" w:rsidRDefault="00000000">
      <w:pPr>
        <w:spacing w:before="80" w:after="120"/>
        <w:jc w:val="both"/>
      </w:pPr>
      <w:r>
        <w:t>The analogy is precise: a tuning fork struck near a guitar string tuned to the same frequency causes the string to vibrate and produce sound. The guitar produces the loud, perceptible sound — not the tuning fork directly. In the wind turbine context, the ground-borne infrasound is the tuning fork. The building is the guitar.</w:t>
      </w:r>
    </w:p>
    <w:p w14:paraId="27194B9A" w14:textId="77777777" w:rsidR="0087753A" w:rsidRDefault="00000000">
      <w:pPr>
        <w:spacing w:before="200" w:after="40"/>
        <w:jc w:val="center"/>
      </w:pPr>
      <w:r>
        <w:rPr>
          <w:noProof/>
        </w:rPr>
        <w:lastRenderedPageBreak/>
        <w:drawing>
          <wp:inline distT="0" distB="0" distL="0" distR="0" wp14:anchorId="052C3365" wp14:editId="354C6974">
            <wp:extent cx="2260506" cy="3293861"/>
            <wp:effectExtent l="0" t="0" r="6985" b="1905"/>
            <wp:docPr id="1844561598" name="Picture 184456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b="2128"/>
                    <a:stretch>
                      <a:fillRect/>
                    </a:stretch>
                  </pic:blipFill>
                  <pic:spPr bwMode="auto">
                    <a:xfrm>
                      <a:off x="0" y="0"/>
                      <a:ext cx="2288652" cy="3334874"/>
                    </a:xfrm>
                    <a:prstGeom prst="rect">
                      <a:avLst/>
                    </a:prstGeom>
                    <a:ln>
                      <a:noFill/>
                    </a:ln>
                    <a:extLst>
                      <a:ext uri="{53640926-AAD7-44D8-BBD7-CCE9431645EC}">
                        <a14:shadowObscured xmlns:a14="http://schemas.microsoft.com/office/drawing/2010/main"/>
                      </a:ext>
                    </a:extLst>
                  </pic:spPr>
                </pic:pic>
              </a:graphicData>
            </a:graphic>
          </wp:inline>
        </w:drawing>
      </w:r>
    </w:p>
    <w:p w14:paraId="107614E3" w14:textId="77777777" w:rsidR="0087753A" w:rsidRDefault="00000000">
      <w:pPr>
        <w:spacing w:before="80" w:after="240"/>
        <w:jc w:val="center"/>
      </w:pPr>
      <w:r>
        <w:rPr>
          <w:b/>
          <w:bCs/>
          <w:color w:val="1579B5"/>
          <w:sz w:val="19"/>
          <w:szCs w:val="19"/>
        </w:rPr>
        <w:t xml:space="preserve">Figure 2: </w:t>
      </w:r>
      <w:r>
        <w:rPr>
          <w:i/>
          <w:iCs/>
          <w:color w:val="444444"/>
          <w:sz w:val="19"/>
          <w:szCs w:val="19"/>
        </w:rPr>
        <w:t xml:space="preserve">Sympathetic resonance — tuning fork principle. The vibrating fork (Excitation, from ground-borne infrasound) transmits energy to the </w:t>
      </w:r>
      <w:proofErr w:type="gramStart"/>
      <w:r>
        <w:rPr>
          <w:i/>
          <w:iCs/>
          <w:color w:val="444444"/>
          <w:sz w:val="19"/>
          <w:szCs w:val="19"/>
        </w:rPr>
        <w:t>Building</w:t>
      </w:r>
      <w:proofErr w:type="gramEnd"/>
      <w:r>
        <w:rPr>
          <w:i/>
          <w:iCs/>
          <w:color w:val="444444"/>
          <w:sz w:val="19"/>
          <w:szCs w:val="19"/>
        </w:rPr>
        <w:t xml:space="preserve"> structure. Only the structure whose natural frequency matches the excitation frequency responds with audible sound. This elementary principle is the mechanism by which wind turbine ground-borne energy produces audible noise inside affected buildings.</w:t>
      </w:r>
    </w:p>
    <w:p w14:paraId="1D0BF5F3" w14:textId="77777777" w:rsidR="0087753A" w:rsidRDefault="00000000">
      <w:pPr>
        <w:spacing w:before="200" w:after="40"/>
        <w:jc w:val="center"/>
      </w:pPr>
      <w:r>
        <w:rPr>
          <w:noProof/>
        </w:rPr>
        <w:drawing>
          <wp:inline distT="0" distB="0" distL="0" distR="0" wp14:anchorId="5280411D" wp14:editId="7DC6D0F5">
            <wp:extent cx="2298432" cy="3422896"/>
            <wp:effectExtent l="0" t="0" r="6985" b="6350"/>
            <wp:docPr id="150472059" name="Picture 15047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304823" cy="3432414"/>
                    </a:xfrm>
                    <a:prstGeom prst="rect">
                      <a:avLst/>
                    </a:prstGeom>
                  </pic:spPr>
                </pic:pic>
              </a:graphicData>
            </a:graphic>
          </wp:inline>
        </w:drawing>
      </w:r>
    </w:p>
    <w:p w14:paraId="6EE72891" w14:textId="77777777" w:rsidR="0087753A" w:rsidRDefault="00000000">
      <w:pPr>
        <w:spacing w:before="80" w:after="240"/>
        <w:jc w:val="center"/>
      </w:pPr>
      <w:r>
        <w:rPr>
          <w:b/>
          <w:bCs/>
          <w:color w:val="1579B5"/>
          <w:sz w:val="19"/>
          <w:szCs w:val="19"/>
        </w:rPr>
        <w:t xml:space="preserve">Figure 9: </w:t>
      </w:r>
      <w:r>
        <w:rPr>
          <w:i/>
          <w:iCs/>
          <w:color w:val="444444"/>
          <w:sz w:val="19"/>
          <w:szCs w:val="19"/>
        </w:rPr>
        <w:t xml:space="preserve">Tuning Fork (Ground-Borne Excitation). The fork vibrates at its natural frequency; energy propagates to a panel array. Only the panel at Matching Vibration frequency responds, producing Audible Sound. The other panels remain still. This is the selective, building-specific nature of sympathetic resonance that explains why one house is severely affected while its </w:t>
      </w:r>
      <w:proofErr w:type="spellStart"/>
      <w:r>
        <w:rPr>
          <w:i/>
          <w:iCs/>
          <w:color w:val="444444"/>
          <w:sz w:val="19"/>
          <w:szCs w:val="19"/>
        </w:rPr>
        <w:t>neighbour</w:t>
      </w:r>
      <w:proofErr w:type="spellEnd"/>
      <w:r>
        <w:rPr>
          <w:i/>
          <w:iCs/>
          <w:color w:val="444444"/>
          <w:sz w:val="19"/>
          <w:szCs w:val="19"/>
        </w:rPr>
        <w:t xml:space="preserve"> reports nothing.</w:t>
      </w:r>
    </w:p>
    <w:p w14:paraId="350C32D8" w14:textId="77777777" w:rsidR="0087753A" w:rsidRDefault="00000000">
      <w:pPr>
        <w:spacing w:before="80" w:after="120"/>
        <w:jc w:val="both"/>
      </w:pPr>
      <w:r>
        <w:lastRenderedPageBreak/>
        <w:t>This mechanism explains features of the complaint record that have been treated as anomalous under current assessment frameworks. Occupants report pressure, low-frequency audible hum, rattling of objects, and tactile vibration simultaneously — a broadband response profile entirely consistent with a building structure re-radiating energy across its resonant modes.</w:t>
      </w:r>
    </w:p>
    <w:p w14:paraId="30075F29" w14:textId="16B26586" w:rsidR="0087753A" w:rsidRDefault="006F75B5">
      <w:pPr>
        <w:pStyle w:val="Heading2"/>
      </w:pPr>
      <w:r>
        <w:t>3.3 The</w:t>
      </w:r>
      <w:r w:rsidR="00000000">
        <w:t xml:space="preserve"> Direct Inner Ear Pathway: A Separate and Compounding Effect</w:t>
      </w:r>
    </w:p>
    <w:p w14:paraId="25DA87CE" w14:textId="77777777" w:rsidR="0087753A" w:rsidRDefault="00000000">
      <w:pPr>
        <w:spacing w:before="80" w:after="120"/>
        <w:jc w:val="both"/>
      </w:pPr>
      <w:r>
        <w:t>Research by Salt and Kaltenbach (Washington University, 2011) demonstrated that the saccule — a component of the inner ear vestibular system — responds to infrasound at levels well below the threshold of conscious auditory perception. Outer hair cells in the cochlea are also stimulated at sub-threshold levels. This constitutes a direct physiological pathway from infrasound to neurological response, without the intermediate step of structural re-radiation. A-weighted measurement cannot represent this pathway.</w:t>
      </w:r>
    </w:p>
    <w:p w14:paraId="4B98B07E" w14:textId="355664D1" w:rsidR="0087753A" w:rsidRDefault="006F75B5">
      <w:pPr>
        <w:pStyle w:val="Heading2"/>
      </w:pPr>
      <w:r>
        <w:t>3.4 Amplitude</w:t>
      </w:r>
      <w:r w:rsidR="00000000">
        <w:t xml:space="preserve"> Modulation Is Invisible to </w:t>
      </w:r>
      <w:proofErr w:type="spellStart"/>
      <w:r w:rsidR="00000000">
        <w:t>Leq</w:t>
      </w:r>
      <w:proofErr w:type="spellEnd"/>
      <w:r w:rsidR="00000000">
        <w:t xml:space="preserve"> Averaging</w:t>
      </w:r>
    </w:p>
    <w:p w14:paraId="3BB7B6A1" w14:textId="77777777" w:rsidR="0087753A" w:rsidRDefault="00000000">
      <w:pPr>
        <w:spacing w:before="80" w:after="120"/>
        <w:jc w:val="both"/>
      </w:pPr>
      <w:r>
        <w:t>The cyclic variation in turbine noise level produced by blade rotation (typically at 0.5–2 Hz modulation rate) is a well-established source of annoyance. Equivalent continuous level averaging (</w:t>
      </w:r>
      <w:proofErr w:type="spellStart"/>
      <w:r>
        <w:t>Leq</w:t>
      </w:r>
      <w:proofErr w:type="spellEnd"/>
      <w:r>
        <w:t>) converts a highly structured, periodically varying signal into a single number that contains no information about the modulation that drives the complaint.</w:t>
      </w:r>
    </w:p>
    <w:p w14:paraId="11E604B3" w14:textId="4B54C9FD" w:rsidR="0087753A" w:rsidRDefault="006F75B5">
      <w:pPr>
        <w:pStyle w:val="Heading2"/>
      </w:pPr>
      <w:r>
        <w:t>3.5 The</w:t>
      </w:r>
      <w:r w:rsidR="00000000">
        <w:t xml:space="preserve"> Two-Building Consequence: Elementary Physics the Framework Ignores</w:t>
      </w:r>
    </w:p>
    <w:p w14:paraId="404F0212" w14:textId="77777777" w:rsidR="0087753A" w:rsidRDefault="00000000">
      <w:pPr>
        <w:spacing w:before="80" w:after="120"/>
        <w:jc w:val="both"/>
      </w:pPr>
      <w:r>
        <w:t xml:space="preserve">Two residential buildings at comparable distances from the same turbine are two different physical structures with two different sets of natural resonant frequencies, sitting on two different local geological substrates. One may resonate strongly </w:t>
      </w:r>
      <w:proofErr w:type="spellStart"/>
      <w:r>
        <w:t>under ground</w:t>
      </w:r>
      <w:proofErr w:type="spellEnd"/>
      <w:r>
        <w:t>-borne excitation at blade-pass frequency and its harmonics. The other may not.</w:t>
      </w:r>
    </w:p>
    <w:p w14:paraId="320F4B79" w14:textId="77777777" w:rsidR="0087753A" w:rsidRDefault="00000000">
      <w:pPr>
        <w:spacing w:before="200" w:after="40"/>
        <w:jc w:val="center"/>
      </w:pPr>
      <w:r>
        <w:rPr>
          <w:noProof/>
        </w:rPr>
        <w:drawing>
          <wp:inline distT="0" distB="0" distL="0" distR="0" wp14:anchorId="751734CB" wp14:editId="16513966">
            <wp:extent cx="5267325" cy="3533775"/>
            <wp:effectExtent l="0" t="0" r="0" b="0"/>
            <wp:docPr id="1845691604" name="Picture 184569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267325" cy="3533775"/>
                    </a:xfrm>
                    <a:prstGeom prst="rect">
                      <a:avLst/>
                    </a:prstGeom>
                  </pic:spPr>
                </pic:pic>
              </a:graphicData>
            </a:graphic>
          </wp:inline>
        </w:drawing>
      </w:r>
    </w:p>
    <w:p w14:paraId="0FCF401F" w14:textId="77777777" w:rsidR="0087753A" w:rsidRDefault="00000000">
      <w:pPr>
        <w:spacing w:before="80" w:after="240"/>
        <w:jc w:val="center"/>
      </w:pPr>
      <w:r>
        <w:rPr>
          <w:b/>
          <w:bCs/>
          <w:color w:val="1579B5"/>
          <w:sz w:val="19"/>
          <w:szCs w:val="19"/>
        </w:rPr>
        <w:lastRenderedPageBreak/>
        <w:t xml:space="preserve">Figure 4: </w:t>
      </w:r>
      <w:r>
        <w:rPr>
          <w:i/>
          <w:iCs/>
          <w:color w:val="444444"/>
          <w:sz w:val="19"/>
          <w:szCs w:val="19"/>
        </w:rPr>
        <w:t>Sympathetic resonance — one house affected, adjacent house unaffected. Same turbine, same distance. The left house resonates strongly (Natural Frequency matches turbine blade-pass harmonics; Ground Coupling Coefficient 0.8). The right house does not. This is the expected, physics-predicted consequence of two structurally dissimilar buildings on different geological substrates.</w:t>
      </w:r>
    </w:p>
    <w:p w14:paraId="1CDB8C9A" w14:textId="3B801E28" w:rsidR="0087753A" w:rsidRDefault="000F2658">
      <w:pPr>
        <w:spacing w:before="200" w:after="40"/>
        <w:jc w:val="center"/>
      </w:pPr>
      <w:r>
        <w:rPr>
          <w:noProof/>
        </w:rPr>
        <w:drawing>
          <wp:inline distT="0" distB="0" distL="0" distR="0" wp14:anchorId="3D11AC8A" wp14:editId="6A14F2F6">
            <wp:extent cx="5267325" cy="3533775"/>
            <wp:effectExtent l="0" t="0" r="0" b="0"/>
            <wp:docPr id="1139952004" name="Picture 113995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267325" cy="3533775"/>
                    </a:xfrm>
                    <a:prstGeom prst="rect">
                      <a:avLst/>
                    </a:prstGeom>
                  </pic:spPr>
                </pic:pic>
              </a:graphicData>
            </a:graphic>
          </wp:inline>
        </w:drawing>
      </w:r>
    </w:p>
    <w:p w14:paraId="2DADB149" w14:textId="77777777" w:rsidR="0087753A" w:rsidRDefault="00000000">
      <w:pPr>
        <w:spacing w:before="80" w:after="240"/>
        <w:jc w:val="center"/>
      </w:pPr>
      <w:r>
        <w:rPr>
          <w:b/>
          <w:bCs/>
          <w:color w:val="1579B5"/>
          <w:sz w:val="19"/>
          <w:szCs w:val="19"/>
        </w:rPr>
        <w:t xml:space="preserve">Figure 8: </w:t>
      </w:r>
      <w:r>
        <w:rPr>
          <w:i/>
          <w:iCs/>
          <w:color w:val="444444"/>
          <w:sz w:val="19"/>
          <w:szCs w:val="19"/>
        </w:rPr>
        <w:t>Two adjacent houses, same turbine distance — different structural response. Natural Frequency of left house: 1.2 Hz (matching turbine blade-pass harmonics). Ground Coupling Coefficient: 0.8. The left house experiences intense structural excitation; occupants report vibration, low-frequency hum, and sleep disturbance. The right house at the same distance reports no effect.</w:t>
      </w:r>
    </w:p>
    <w:p w14:paraId="7B76FFFA" w14:textId="3CC1E020" w:rsidR="0087753A" w:rsidRDefault="00000000">
      <w:pPr>
        <w:pBdr>
          <w:left w:val="single" w:sz="12" w:space="12" w:color="1579B5"/>
        </w:pBdr>
        <w:spacing w:before="200" w:after="200"/>
        <w:ind w:left="440"/>
        <w:jc w:val="both"/>
      </w:pPr>
      <w:r>
        <w:rPr>
          <w:b/>
          <w:bCs/>
          <w:i/>
          <w:iCs/>
          <w:color w:val="1A3843"/>
        </w:rPr>
        <w:t xml:space="preserve">The question is not whether this outcome is scientifically explicable. It plainly is. The question is why an </w:t>
      </w:r>
      <w:r w:rsidR="000F2658">
        <w:rPr>
          <w:b/>
          <w:bCs/>
          <w:i/>
          <w:iCs/>
          <w:color w:val="1A3843"/>
        </w:rPr>
        <w:t>assessment framework governing installation</w:t>
      </w:r>
      <w:r>
        <w:rPr>
          <w:b/>
          <w:bCs/>
          <w:i/>
          <w:iCs/>
          <w:color w:val="1A3843"/>
        </w:rPr>
        <w:t xml:space="preserve"> that demonstrably produce this outcome has been constructed in a way that is constitutionally incapable of detecting it.</w:t>
      </w:r>
    </w:p>
    <w:p w14:paraId="1F471E72" w14:textId="06874D6E" w:rsidR="0087753A" w:rsidRDefault="000F2658">
      <w:pPr>
        <w:pStyle w:val="Heading2"/>
      </w:pPr>
      <w:r>
        <w:t>3.6 Boundary</w:t>
      </w:r>
      <w:r w:rsidR="00000000">
        <w:t xml:space="preserve"> Measurement Addresses the Wrong Location</w:t>
      </w:r>
    </w:p>
    <w:p w14:paraId="0667C260" w14:textId="77777777" w:rsidR="0087753A" w:rsidRDefault="00000000">
      <w:pPr>
        <w:spacing w:before="80" w:after="120"/>
        <w:jc w:val="both"/>
      </w:pPr>
      <w:r>
        <w:t xml:space="preserve">Ground-borne vibration exposure occurs inside the building. The exposure pathway </w:t>
      </w:r>
      <w:proofErr w:type="gramStart"/>
      <w:r>
        <w:t>is:</w:t>
      </w:r>
      <w:proofErr w:type="gramEnd"/>
      <w:r>
        <w:t xml:space="preserve"> turbine foundation → geology → building foundation → building structure → occupant. An airborne sound measurement at the property boundary intercepts none of this pathway. It is a measurement of a different physical quantity at a location unrelated to the exposure mechanism.</w:t>
      </w:r>
    </w:p>
    <w:p w14:paraId="426F8F38" w14:textId="77777777" w:rsidR="000F2658" w:rsidRDefault="000F2658">
      <w:pPr>
        <w:rPr>
          <w:b/>
          <w:bCs/>
          <w:color w:val="1A3843"/>
          <w:sz w:val="32"/>
          <w:szCs w:val="32"/>
        </w:rPr>
      </w:pPr>
      <w:r>
        <w:br w:type="page"/>
      </w:r>
    </w:p>
    <w:p w14:paraId="559890E0" w14:textId="0FB23388" w:rsidR="0087753A" w:rsidRDefault="00000000">
      <w:pPr>
        <w:pStyle w:val="Heading1"/>
      </w:pPr>
      <w:r>
        <w:lastRenderedPageBreak/>
        <w:t>4.  The Compliance Circularity Problem</w:t>
      </w:r>
    </w:p>
    <w:p w14:paraId="58FABD76" w14:textId="77777777" w:rsidR="0087753A" w:rsidRDefault="00000000">
      <w:pPr>
        <w:spacing w:before="80" w:after="120"/>
        <w:jc w:val="both"/>
      </w:pPr>
      <w:r>
        <w:t>Current wind turbine noise standards create a self-validating compliance framework:</w:t>
      </w:r>
    </w:p>
    <w:p w14:paraId="26433AC6" w14:textId="77777777" w:rsidR="0087753A" w:rsidRDefault="00000000">
      <w:pPr>
        <w:pStyle w:val="ListParagraph"/>
        <w:numPr>
          <w:ilvl w:val="0"/>
          <w:numId w:val="2"/>
        </w:numPr>
        <w:spacing w:before="60" w:after="60"/>
      </w:pPr>
      <w:r>
        <w:t>The standard defines what must be measured (A-weighted airborne sound at boundary)</w:t>
      </w:r>
    </w:p>
    <w:p w14:paraId="7C328EC6" w14:textId="77777777" w:rsidR="0087753A" w:rsidRDefault="00000000">
      <w:pPr>
        <w:pStyle w:val="ListParagraph"/>
        <w:numPr>
          <w:ilvl w:val="0"/>
          <w:numId w:val="2"/>
        </w:numPr>
        <w:spacing w:before="60" w:after="60"/>
      </w:pPr>
      <w:r>
        <w:t>The measurement methodology is selected to address that specific metric</w:t>
      </w:r>
    </w:p>
    <w:p w14:paraId="3A9C41C2" w14:textId="77777777" w:rsidR="0087753A" w:rsidRDefault="00000000">
      <w:pPr>
        <w:pStyle w:val="ListParagraph"/>
        <w:numPr>
          <w:ilvl w:val="0"/>
          <w:numId w:val="2"/>
        </w:numPr>
        <w:spacing w:before="60" w:after="60"/>
      </w:pPr>
      <w:r>
        <w:t>Setback distances are calculated to achieve compliance with the metric</w:t>
      </w:r>
    </w:p>
    <w:p w14:paraId="179384D3" w14:textId="77777777" w:rsidR="0087753A" w:rsidRDefault="00000000">
      <w:pPr>
        <w:pStyle w:val="ListParagraph"/>
        <w:numPr>
          <w:ilvl w:val="0"/>
          <w:numId w:val="2"/>
        </w:numPr>
        <w:spacing w:before="60" w:after="60"/>
      </w:pPr>
      <w:r>
        <w:t>Post-construction monitoring confirms compliance with the same metric</w:t>
      </w:r>
    </w:p>
    <w:p w14:paraId="115B41DC" w14:textId="77777777" w:rsidR="0087753A" w:rsidRDefault="00000000">
      <w:pPr>
        <w:pStyle w:val="ListParagraph"/>
        <w:numPr>
          <w:ilvl w:val="0"/>
          <w:numId w:val="2"/>
        </w:numPr>
        <w:spacing w:before="60" w:after="60"/>
      </w:pPr>
      <w:r>
        <w:t>Complaints are assessed against the same metric and found non-compliant with regulatory limits</w:t>
      </w:r>
    </w:p>
    <w:p w14:paraId="74FA5907" w14:textId="77777777" w:rsidR="0087753A" w:rsidRDefault="0087753A">
      <w:pPr>
        <w:spacing w:before="120"/>
      </w:pPr>
    </w:p>
    <w:p w14:paraId="43366604" w14:textId="77777777" w:rsidR="0087753A" w:rsidRDefault="00000000">
      <w:pPr>
        <w:spacing w:before="80" w:after="120"/>
        <w:jc w:val="both"/>
      </w:pPr>
      <w:r>
        <w:t>At no point in this cycle is the ground-borne transmission pathway considered, because the standard does not require it. A wind turbine installation can be fully compliant with every applicable noise regulation while simultaneously transmitting significant ground-borne vibration into residential structures.</w:t>
      </w:r>
    </w:p>
    <w:p w14:paraId="18F486B1" w14:textId="77777777" w:rsidR="0087753A" w:rsidRDefault="00000000">
      <w:pPr>
        <w:pBdr>
          <w:left w:val="single" w:sz="12" w:space="12" w:color="1579B5"/>
        </w:pBdr>
        <w:spacing w:before="200" w:after="200"/>
        <w:ind w:left="440"/>
        <w:jc w:val="both"/>
      </w:pPr>
      <w:r>
        <w:rPr>
          <w:b/>
          <w:bCs/>
          <w:i/>
          <w:iCs/>
          <w:color w:val="1A3843"/>
        </w:rPr>
        <w:t>This is not regulatory failure in the sense of inadequate enforcement. It is a structural deficiency in what the regulation requires to be measured. The ruler is calibrated to produce compliance. It cannot measure harm.</w:t>
      </w:r>
    </w:p>
    <w:p w14:paraId="77DFE29A" w14:textId="77777777" w:rsidR="0087753A" w:rsidRDefault="00000000">
      <w:pPr>
        <w:pStyle w:val="Heading1"/>
      </w:pPr>
      <w:r>
        <w:t>5.  A Scientifically Defensible Assessment Framework</w:t>
      </w:r>
    </w:p>
    <w:p w14:paraId="630537E3" w14:textId="77777777" w:rsidR="0087753A" w:rsidRDefault="00000000">
      <w:pPr>
        <w:spacing w:before="80" w:after="120"/>
        <w:jc w:val="both"/>
      </w:pPr>
      <w:r>
        <w:t>The following table contrasts current practice with the measurement parameters required for a complete noise risk assessment addressing both transmission pathways:</w:t>
      </w:r>
    </w:p>
    <w:p w14:paraId="5A3DE8BD" w14:textId="77777777" w:rsidR="0087753A" w:rsidRDefault="0087753A">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900"/>
        <w:gridCol w:w="2200"/>
        <w:gridCol w:w="3660"/>
      </w:tblGrid>
      <w:tr w:rsidR="0087753A" w14:paraId="178140F2" w14:textId="77777777">
        <w:tblPrEx>
          <w:tblCellMar>
            <w:top w:w="0" w:type="dxa"/>
            <w:bottom w:w="0" w:type="dxa"/>
          </w:tblCellMar>
        </w:tblPrEx>
        <w:trPr>
          <w:tblHeader/>
        </w:trPr>
        <w:tc>
          <w:tcPr>
            <w:tcW w:w="1600" w:type="dxa"/>
            <w:tcBorders>
              <w:top w:val="single" w:sz="1" w:space="0" w:color="CCCCCC"/>
              <w:left w:val="single" w:sz="1" w:space="0" w:color="CCCCCC"/>
              <w:bottom w:val="single" w:sz="1" w:space="0" w:color="CCCCCC"/>
              <w:right w:val="single" w:sz="1" w:space="0" w:color="CCCCCC"/>
            </w:tcBorders>
            <w:shd w:val="clear" w:color="auto" w:fill="1A3843"/>
            <w:tcMar>
              <w:top w:w="80" w:type="dxa"/>
              <w:left w:w="120" w:type="dxa"/>
              <w:bottom w:w="80" w:type="dxa"/>
              <w:right w:w="120" w:type="dxa"/>
            </w:tcMar>
          </w:tcPr>
          <w:p w14:paraId="14167C5F" w14:textId="77777777" w:rsidR="0087753A" w:rsidRDefault="00000000">
            <w:r>
              <w:rPr>
                <w:b/>
                <w:bCs/>
                <w:color w:val="FFFFFF"/>
                <w:sz w:val="18"/>
                <w:szCs w:val="18"/>
              </w:rPr>
              <w:t>Parameter</w:t>
            </w:r>
          </w:p>
        </w:tc>
        <w:tc>
          <w:tcPr>
            <w:tcW w:w="1900" w:type="dxa"/>
            <w:tcBorders>
              <w:top w:val="single" w:sz="1" w:space="0" w:color="CCCCCC"/>
              <w:left w:val="single" w:sz="1" w:space="0" w:color="CCCCCC"/>
              <w:bottom w:val="single" w:sz="1" w:space="0" w:color="CCCCCC"/>
              <w:right w:val="single" w:sz="1" w:space="0" w:color="CCCCCC"/>
            </w:tcBorders>
            <w:shd w:val="clear" w:color="auto" w:fill="1A3843"/>
            <w:tcMar>
              <w:top w:w="80" w:type="dxa"/>
              <w:left w:w="120" w:type="dxa"/>
              <w:bottom w:w="80" w:type="dxa"/>
              <w:right w:w="120" w:type="dxa"/>
            </w:tcMar>
          </w:tcPr>
          <w:p w14:paraId="3DADF698" w14:textId="77777777" w:rsidR="0087753A" w:rsidRDefault="00000000">
            <w:r>
              <w:rPr>
                <w:b/>
                <w:bCs/>
                <w:color w:val="FFFFFF"/>
                <w:sz w:val="18"/>
                <w:szCs w:val="18"/>
              </w:rPr>
              <w:t>Current Practice</w:t>
            </w:r>
          </w:p>
        </w:tc>
        <w:tc>
          <w:tcPr>
            <w:tcW w:w="2200" w:type="dxa"/>
            <w:tcBorders>
              <w:top w:val="single" w:sz="1" w:space="0" w:color="CCCCCC"/>
              <w:left w:val="single" w:sz="1" w:space="0" w:color="CCCCCC"/>
              <w:bottom w:val="single" w:sz="1" w:space="0" w:color="CCCCCC"/>
              <w:right w:val="single" w:sz="1" w:space="0" w:color="CCCCCC"/>
            </w:tcBorders>
            <w:shd w:val="clear" w:color="auto" w:fill="1A3843"/>
            <w:tcMar>
              <w:top w:w="80" w:type="dxa"/>
              <w:left w:w="120" w:type="dxa"/>
              <w:bottom w:w="80" w:type="dxa"/>
              <w:right w:w="120" w:type="dxa"/>
            </w:tcMar>
          </w:tcPr>
          <w:p w14:paraId="55D9F3E4" w14:textId="77777777" w:rsidR="0087753A" w:rsidRDefault="00000000">
            <w:r>
              <w:rPr>
                <w:b/>
                <w:bCs/>
                <w:color w:val="FFFFFF"/>
                <w:sz w:val="18"/>
                <w:szCs w:val="18"/>
              </w:rPr>
              <w:t>Why It Fails</w:t>
            </w:r>
          </w:p>
        </w:tc>
        <w:tc>
          <w:tcPr>
            <w:tcW w:w="3660" w:type="dxa"/>
            <w:tcBorders>
              <w:top w:val="single" w:sz="1" w:space="0" w:color="CCCCCC"/>
              <w:left w:val="single" w:sz="1" w:space="0" w:color="CCCCCC"/>
              <w:bottom w:val="single" w:sz="1" w:space="0" w:color="CCCCCC"/>
              <w:right w:val="single" w:sz="1" w:space="0" w:color="CCCCCC"/>
            </w:tcBorders>
            <w:shd w:val="clear" w:color="auto" w:fill="1A3843"/>
            <w:tcMar>
              <w:top w:w="80" w:type="dxa"/>
              <w:left w:w="120" w:type="dxa"/>
              <w:bottom w:w="80" w:type="dxa"/>
              <w:right w:w="120" w:type="dxa"/>
            </w:tcMar>
          </w:tcPr>
          <w:p w14:paraId="256E6764" w14:textId="77777777" w:rsidR="0087753A" w:rsidRDefault="00000000">
            <w:r>
              <w:rPr>
                <w:b/>
                <w:bCs/>
                <w:color w:val="FFFFFF"/>
                <w:sz w:val="18"/>
                <w:szCs w:val="18"/>
              </w:rPr>
              <w:t>Science-Based Alternative</w:t>
            </w:r>
          </w:p>
        </w:tc>
      </w:tr>
      <w:tr w:rsidR="0087753A" w14:paraId="68E81517"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54A540AE" w14:textId="77777777" w:rsidR="0087753A" w:rsidRDefault="00000000">
            <w:r>
              <w:rPr>
                <w:sz w:val="18"/>
                <w:szCs w:val="18"/>
              </w:rPr>
              <w:t>Frequency weighting</w:t>
            </w:r>
          </w:p>
        </w:tc>
        <w:tc>
          <w:tcPr>
            <w:tcW w:w="19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62AF38F6" w14:textId="77777777" w:rsidR="0087753A" w:rsidRDefault="00000000">
            <w:r>
              <w:rPr>
                <w:sz w:val="18"/>
                <w:szCs w:val="18"/>
              </w:rPr>
              <w:t>A-weighted dB(A)</w:t>
            </w:r>
          </w:p>
        </w:tc>
        <w:tc>
          <w:tcPr>
            <w:tcW w:w="22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772928D4" w14:textId="77777777" w:rsidR="0087753A" w:rsidRDefault="00000000">
            <w:r>
              <w:rPr>
                <w:sz w:val="18"/>
                <w:szCs w:val="18"/>
              </w:rPr>
              <w:t>Suppresses LF/infrasound by 26–60 dB</w:t>
            </w:r>
          </w:p>
        </w:tc>
        <w:tc>
          <w:tcPr>
            <w:tcW w:w="366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011049B3" w14:textId="77777777" w:rsidR="0087753A" w:rsidRDefault="00000000">
            <w:r>
              <w:rPr>
                <w:sz w:val="18"/>
                <w:szCs w:val="18"/>
              </w:rPr>
              <w:t xml:space="preserve">Unweighted </w:t>
            </w:r>
            <w:proofErr w:type="spellStart"/>
            <w:r>
              <w:rPr>
                <w:sz w:val="18"/>
                <w:szCs w:val="18"/>
              </w:rPr>
              <w:t>dBZ</w:t>
            </w:r>
            <w:proofErr w:type="spellEnd"/>
            <w:r>
              <w:rPr>
                <w:sz w:val="18"/>
                <w:szCs w:val="18"/>
              </w:rPr>
              <w:t xml:space="preserve"> + G-weighted infrasound per ISO 7196</w:t>
            </w:r>
          </w:p>
        </w:tc>
      </w:tr>
      <w:tr w:rsidR="0087753A" w14:paraId="230CBA7B"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7E14FC" w14:textId="77777777" w:rsidR="0087753A" w:rsidRDefault="00000000">
            <w:r>
              <w:rPr>
                <w:sz w:val="18"/>
                <w:szCs w:val="18"/>
              </w:rPr>
              <w:t>Temporal metric</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F7CFA1" w14:textId="77777777" w:rsidR="0087753A" w:rsidRDefault="00000000">
            <w:proofErr w:type="spellStart"/>
            <w:r>
              <w:rPr>
                <w:sz w:val="18"/>
                <w:szCs w:val="18"/>
              </w:rPr>
              <w:t>Leq</w:t>
            </w:r>
            <w:proofErr w:type="spellEnd"/>
            <w:r>
              <w:rPr>
                <w:sz w:val="18"/>
                <w:szCs w:val="18"/>
              </w:rPr>
              <w:t xml:space="preserve"> averaging</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E52349" w14:textId="77777777" w:rsidR="0087753A" w:rsidRDefault="00000000">
            <w:r>
              <w:rPr>
                <w:sz w:val="18"/>
                <w:szCs w:val="18"/>
              </w:rPr>
              <w:t>Masks amplitude modulation; hides intermittency</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879285" w14:textId="77777777" w:rsidR="0087753A" w:rsidRDefault="00000000">
            <w:r>
              <w:rPr>
                <w:sz w:val="18"/>
                <w:szCs w:val="18"/>
              </w:rPr>
              <w:t>L10/L90 percentile + AM depth measurement</w:t>
            </w:r>
          </w:p>
        </w:tc>
      </w:tr>
      <w:tr w:rsidR="0087753A" w14:paraId="5B854D99"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3A5AC312" w14:textId="77777777" w:rsidR="0087753A" w:rsidRDefault="00000000">
            <w:r>
              <w:rPr>
                <w:sz w:val="18"/>
                <w:szCs w:val="18"/>
              </w:rPr>
              <w:t>Transmission pathway</w:t>
            </w:r>
          </w:p>
        </w:tc>
        <w:tc>
          <w:tcPr>
            <w:tcW w:w="19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46FA60D5" w14:textId="77777777" w:rsidR="0087753A" w:rsidRDefault="00000000">
            <w:r>
              <w:rPr>
                <w:sz w:val="18"/>
                <w:szCs w:val="18"/>
              </w:rPr>
              <w:t>Airborne only</w:t>
            </w:r>
          </w:p>
        </w:tc>
        <w:tc>
          <w:tcPr>
            <w:tcW w:w="22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0E619650" w14:textId="77777777" w:rsidR="0087753A" w:rsidRDefault="00000000">
            <w:r>
              <w:rPr>
                <w:sz w:val="18"/>
                <w:szCs w:val="18"/>
              </w:rPr>
              <w:t>Ground-borne transmission entirely unmeasured</w:t>
            </w:r>
          </w:p>
        </w:tc>
        <w:tc>
          <w:tcPr>
            <w:tcW w:w="366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50D020C0" w14:textId="77777777" w:rsidR="0087753A" w:rsidRDefault="00000000">
            <w:r>
              <w:rPr>
                <w:sz w:val="18"/>
                <w:szCs w:val="18"/>
              </w:rPr>
              <w:t>Ground vibration at foundation + structural response</w:t>
            </w:r>
          </w:p>
        </w:tc>
      </w:tr>
      <w:tr w:rsidR="0087753A" w14:paraId="64BF974D"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FEDD58" w14:textId="77777777" w:rsidR="0087753A" w:rsidRDefault="00000000">
            <w:r>
              <w:rPr>
                <w:sz w:val="18"/>
                <w:szCs w:val="18"/>
              </w:rPr>
              <w:t>Assessment location</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7E4EFE" w14:textId="77777777" w:rsidR="0087753A" w:rsidRDefault="00000000">
            <w:r>
              <w:rPr>
                <w:sz w:val="18"/>
                <w:szCs w:val="18"/>
              </w:rPr>
              <w:t>Property boundary</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A90778" w14:textId="77777777" w:rsidR="0087753A" w:rsidRDefault="00000000">
            <w:r>
              <w:rPr>
                <w:sz w:val="18"/>
                <w:szCs w:val="18"/>
              </w:rPr>
              <w:t>Exposure occurs inside the structure, not at boundary</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904BFA" w14:textId="77777777" w:rsidR="0087753A" w:rsidRDefault="00000000">
            <w:r>
              <w:rPr>
                <w:sz w:val="18"/>
                <w:szCs w:val="18"/>
              </w:rPr>
              <w:t>Interior measurement + structural vibration</w:t>
            </w:r>
          </w:p>
        </w:tc>
      </w:tr>
      <w:tr w:rsidR="0087753A" w14:paraId="36D0B8EB"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251C4AE1" w14:textId="77777777" w:rsidR="0087753A" w:rsidRDefault="00000000">
            <w:r>
              <w:rPr>
                <w:sz w:val="18"/>
                <w:szCs w:val="18"/>
              </w:rPr>
              <w:t>Geological variable</w:t>
            </w:r>
          </w:p>
        </w:tc>
        <w:tc>
          <w:tcPr>
            <w:tcW w:w="19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49714E6A" w14:textId="77777777" w:rsidR="0087753A" w:rsidRDefault="00000000">
            <w:r>
              <w:rPr>
                <w:sz w:val="18"/>
                <w:szCs w:val="18"/>
              </w:rPr>
              <w:t>Not assessed</w:t>
            </w:r>
          </w:p>
        </w:tc>
        <w:tc>
          <w:tcPr>
            <w:tcW w:w="22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1ADA0696" w14:textId="77777777" w:rsidR="0087753A" w:rsidRDefault="00000000">
            <w:r>
              <w:rPr>
                <w:sz w:val="18"/>
                <w:szCs w:val="18"/>
              </w:rPr>
              <w:t>Propagation is geology-dependent; explains house-to-house variation</w:t>
            </w:r>
          </w:p>
        </w:tc>
        <w:tc>
          <w:tcPr>
            <w:tcW w:w="366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393B664F" w14:textId="77777777" w:rsidR="0087753A" w:rsidRDefault="00000000">
            <w:r>
              <w:rPr>
                <w:sz w:val="18"/>
                <w:szCs w:val="18"/>
              </w:rPr>
              <w:t>Ground propagation survey; coherence analysis</w:t>
            </w:r>
          </w:p>
        </w:tc>
      </w:tr>
      <w:tr w:rsidR="0087753A" w14:paraId="4087A3F7"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52EF82" w14:textId="77777777" w:rsidR="0087753A" w:rsidRDefault="00000000">
            <w:r>
              <w:rPr>
                <w:sz w:val="18"/>
                <w:szCs w:val="18"/>
              </w:rPr>
              <w:t>Health metric</w:t>
            </w:r>
          </w:p>
        </w:tc>
        <w:tc>
          <w:tcPr>
            <w:tcW w:w="1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BB036E" w14:textId="77777777" w:rsidR="0087753A" w:rsidRDefault="00000000">
            <w:r>
              <w:rPr>
                <w:sz w:val="18"/>
                <w:szCs w:val="18"/>
              </w:rPr>
              <w:t>Level vs fixed limit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7F4518" w14:textId="77777777" w:rsidR="0087753A" w:rsidRDefault="00000000">
            <w:r>
              <w:rPr>
                <w:sz w:val="18"/>
                <w:szCs w:val="18"/>
              </w:rPr>
              <w:t>Limit derived from same flawed metric</w:t>
            </w:r>
          </w:p>
        </w:tc>
        <w:tc>
          <w:tcPr>
            <w:tcW w:w="36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8A5910" w14:textId="77777777" w:rsidR="0087753A" w:rsidRDefault="00000000">
            <w:r>
              <w:rPr>
                <w:sz w:val="18"/>
                <w:szCs w:val="18"/>
              </w:rPr>
              <w:t>Comparison with WHO physiological harm thresholds</w:t>
            </w:r>
          </w:p>
        </w:tc>
      </w:tr>
      <w:tr w:rsidR="0087753A" w14:paraId="2A04FCB0" w14:textId="77777777">
        <w:tblPrEx>
          <w:tblCellMar>
            <w:top w:w="0" w:type="dxa"/>
            <w:bottom w:w="0" w:type="dxa"/>
          </w:tblCellMar>
        </w:tblPrEx>
        <w:tc>
          <w:tcPr>
            <w:tcW w:w="16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2EAA15EB" w14:textId="77777777" w:rsidR="0087753A" w:rsidRDefault="00000000">
            <w:r>
              <w:rPr>
                <w:sz w:val="18"/>
                <w:szCs w:val="18"/>
              </w:rPr>
              <w:t>Receptor building response</w:t>
            </w:r>
          </w:p>
        </w:tc>
        <w:tc>
          <w:tcPr>
            <w:tcW w:w="19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4E17B462" w14:textId="77777777" w:rsidR="0087753A" w:rsidRDefault="00000000">
            <w:r>
              <w:rPr>
                <w:sz w:val="18"/>
                <w:szCs w:val="18"/>
              </w:rPr>
              <w:t>Not assessed</w:t>
            </w:r>
          </w:p>
        </w:tc>
        <w:tc>
          <w:tcPr>
            <w:tcW w:w="220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7E6FEF89" w14:textId="77777777" w:rsidR="0087753A" w:rsidRDefault="00000000">
            <w:r>
              <w:rPr>
                <w:sz w:val="18"/>
                <w:szCs w:val="18"/>
              </w:rPr>
              <w:t>Building is the perceptible source of harm via sympathetic resonance</w:t>
            </w:r>
          </w:p>
        </w:tc>
        <w:tc>
          <w:tcPr>
            <w:tcW w:w="3660" w:type="dxa"/>
            <w:tcBorders>
              <w:top w:val="single" w:sz="1" w:space="0" w:color="CCCCCC"/>
              <w:left w:val="single" w:sz="1" w:space="0" w:color="CCCCCC"/>
              <w:bottom w:val="single" w:sz="1" w:space="0" w:color="CCCCCC"/>
              <w:right w:val="single" w:sz="1" w:space="0" w:color="CCCCCC"/>
            </w:tcBorders>
            <w:shd w:val="clear" w:color="auto" w:fill="F4F7F9"/>
            <w:tcMar>
              <w:top w:w="80" w:type="dxa"/>
              <w:left w:w="120" w:type="dxa"/>
              <w:bottom w:w="80" w:type="dxa"/>
              <w:right w:w="120" w:type="dxa"/>
            </w:tcMar>
          </w:tcPr>
          <w:p w14:paraId="2745561A" w14:textId="77777777" w:rsidR="0087753A" w:rsidRDefault="00000000">
            <w:r>
              <w:rPr>
                <w:sz w:val="18"/>
                <w:szCs w:val="18"/>
              </w:rPr>
              <w:t>Structural modal analysis; indoor full-spectrum measurement; accelerometers; coherence with turbine cycle</w:t>
            </w:r>
          </w:p>
        </w:tc>
      </w:tr>
    </w:tbl>
    <w:p w14:paraId="1C5EAC3A" w14:textId="77777777" w:rsidR="0087753A" w:rsidRDefault="0087753A">
      <w:pPr>
        <w:spacing w:before="120"/>
      </w:pPr>
    </w:p>
    <w:p w14:paraId="77020110" w14:textId="50ADE3CC" w:rsidR="0087753A" w:rsidRDefault="000F2658">
      <w:pPr>
        <w:pStyle w:val="Heading2"/>
      </w:pPr>
      <w:r>
        <w:t>5.1 The</w:t>
      </w:r>
      <w:r w:rsidR="00000000">
        <w:t xml:space="preserve"> Coherence Analysis Requirement</w:t>
      </w:r>
    </w:p>
    <w:p w14:paraId="22EFB468" w14:textId="77777777" w:rsidR="0087753A" w:rsidRDefault="00000000">
      <w:pPr>
        <w:spacing w:before="80" w:after="120"/>
        <w:jc w:val="both"/>
      </w:pPr>
      <w:r>
        <w:t>A critical element of ground-borne assessment is coherence analysis: mathematical demonstration that vibration measured in the receptor building is causally related to turbine operation. This is achievable by simultaneous measurement at turbine foundation and receptor location, with cross-spectral analysis showing correlation at blade-pass frequency and harmonics. This constitutes scientific proof of transmission, not anecdotal claim.</w:t>
      </w:r>
    </w:p>
    <w:p w14:paraId="60E8BB58" w14:textId="77777777" w:rsidR="0087753A" w:rsidRDefault="00000000">
      <w:pPr>
        <w:pStyle w:val="Heading1"/>
      </w:pPr>
      <w:r>
        <w:t>6.  Regulatory Reform: The Scientific Basis</w:t>
      </w:r>
    </w:p>
    <w:p w14:paraId="5B67F655" w14:textId="77777777" w:rsidR="0087753A" w:rsidRDefault="00000000">
      <w:pPr>
        <w:spacing w:before="80" w:after="120"/>
        <w:jc w:val="both"/>
      </w:pPr>
      <w:r>
        <w:t xml:space="preserve">The WHO 2018 Environmental Noise Guidelines recommended that wind turbine noise assessment be treated as a separate category from standard industrial noise, </w:t>
      </w:r>
      <w:proofErr w:type="spellStart"/>
      <w:r>
        <w:t>recognising</w:t>
      </w:r>
      <w:proofErr w:type="spellEnd"/>
      <w:r>
        <w:t xml:space="preserve"> that existing frameworks were not adequate. This recommendation has not been fully implemented in any major jurisdiction.</w:t>
      </w:r>
    </w:p>
    <w:p w14:paraId="3E621324" w14:textId="77777777" w:rsidR="0087753A" w:rsidRDefault="00000000">
      <w:pPr>
        <w:spacing w:before="80" w:after="120"/>
        <w:jc w:val="both"/>
      </w:pPr>
      <w:r>
        <w:t>Several jurisdictions have moved toward more complete assessment:</w:t>
      </w:r>
    </w:p>
    <w:p w14:paraId="53851402" w14:textId="77777777" w:rsidR="0087753A" w:rsidRDefault="00000000">
      <w:pPr>
        <w:pStyle w:val="ListParagraph"/>
        <w:numPr>
          <w:ilvl w:val="0"/>
          <w:numId w:val="2"/>
        </w:numPr>
        <w:spacing w:before="60" w:after="60"/>
      </w:pPr>
      <w:r>
        <w:t>Denmark: indoor low-frequency noise limits of 20 dB(A) separately assessed — enacted in 1997, still the world’s most protective standard</w:t>
      </w:r>
    </w:p>
    <w:p w14:paraId="335D78F4" w14:textId="77777777" w:rsidR="0087753A" w:rsidRDefault="00000000">
      <w:pPr>
        <w:pStyle w:val="ListParagraph"/>
        <w:numPr>
          <w:ilvl w:val="0"/>
          <w:numId w:val="2"/>
        </w:numPr>
        <w:spacing w:before="60" w:after="60"/>
      </w:pPr>
      <w:r>
        <w:t>The Netherlands: emerging policy on infrasound assessment</w:t>
      </w:r>
    </w:p>
    <w:p w14:paraId="23F5F585" w14:textId="77777777" w:rsidR="0087753A" w:rsidRDefault="00000000">
      <w:pPr>
        <w:pStyle w:val="ListParagraph"/>
        <w:numPr>
          <w:ilvl w:val="0"/>
          <w:numId w:val="2"/>
        </w:numPr>
        <w:spacing w:before="60" w:after="60"/>
      </w:pPr>
      <w:r>
        <w:t>South Australia: EPA-commissioned independent infrasound reviews following community pressure</w:t>
      </w:r>
    </w:p>
    <w:p w14:paraId="2DD8B0BB" w14:textId="77777777" w:rsidR="0087753A" w:rsidRDefault="0087753A">
      <w:pPr>
        <w:spacing w:before="120"/>
      </w:pPr>
    </w:p>
    <w:p w14:paraId="6D00BF5C" w14:textId="77777777" w:rsidR="0087753A" w:rsidRDefault="00000000">
      <w:pPr>
        <w:pStyle w:val="Heading2"/>
      </w:pPr>
      <w:proofErr w:type="gramStart"/>
      <w:r>
        <w:t>6.1  Why</w:t>
      </w:r>
      <w:proofErr w:type="gramEnd"/>
      <w:r>
        <w:t xml:space="preserve"> Sympathetic and Harmonic Vibration Remain Absent from Regulatory Discourse</w:t>
      </w:r>
    </w:p>
    <w:p w14:paraId="50BA2CEC" w14:textId="77777777" w:rsidR="0087753A" w:rsidRDefault="00000000">
      <w:pPr>
        <w:spacing w:before="80" w:after="120"/>
        <w:jc w:val="both"/>
      </w:pPr>
      <w:r>
        <w:t>The absence of sympathetic structural resonance from wind turbine noise standards is not due to ignorance of elementary physics. It is the result of structural and institutional factors that have consistently reinforced a narrow disciplinary boundary around what the assessment framework is permitted to consider.</w:t>
      </w:r>
    </w:p>
    <w:p w14:paraId="115A475C" w14:textId="77777777" w:rsidR="0087753A" w:rsidRDefault="00000000">
      <w:pPr>
        <w:spacing w:before="80" w:after="120"/>
        <w:jc w:val="both"/>
      </w:pPr>
      <w:r>
        <w:t>Several reinforcing mechanisms have kept the framework narrowly focused:</w:t>
      </w:r>
    </w:p>
    <w:p w14:paraId="4F703DEE" w14:textId="77777777" w:rsidR="0087753A" w:rsidRDefault="00000000">
      <w:pPr>
        <w:pStyle w:val="ListParagraph"/>
        <w:numPr>
          <w:ilvl w:val="0"/>
          <w:numId w:val="2"/>
        </w:numPr>
        <w:spacing w:before="60" w:after="60"/>
      </w:pPr>
      <w:r>
        <w:rPr>
          <w:b/>
          <w:bCs/>
        </w:rPr>
        <w:t xml:space="preserve">Measurement defines research. Because no standard requires ground vibration measurement, there has been no systematic research </w:t>
      </w:r>
      <w:proofErr w:type="spellStart"/>
      <w:r>
        <w:rPr>
          <w:b/>
          <w:bCs/>
        </w:rPr>
        <w:t>programme</w:t>
      </w:r>
      <w:proofErr w:type="spellEnd"/>
      <w:r>
        <w:rPr>
          <w:b/>
          <w:bCs/>
        </w:rPr>
        <w:t xml:space="preserve"> to develop these protocols.</w:t>
      </w:r>
    </w:p>
    <w:p w14:paraId="2004C56E" w14:textId="77777777" w:rsidR="0087753A" w:rsidRDefault="00000000">
      <w:pPr>
        <w:pStyle w:val="ListParagraph"/>
        <w:numPr>
          <w:ilvl w:val="0"/>
          <w:numId w:val="2"/>
        </w:numPr>
        <w:spacing w:before="60" w:after="60"/>
      </w:pPr>
      <w:r>
        <w:rPr>
          <w:b/>
          <w:bCs/>
        </w:rPr>
        <w:t>Commercial incentives suppress expansion. Consultants engaged by developers are tasked with demonstrating compliance. Identifying additional harm pathways creates legal and commercial risk.</w:t>
      </w:r>
    </w:p>
    <w:p w14:paraId="7216CB00" w14:textId="77777777" w:rsidR="0087753A" w:rsidRDefault="00000000">
      <w:pPr>
        <w:pStyle w:val="ListParagraph"/>
        <w:numPr>
          <w:ilvl w:val="0"/>
          <w:numId w:val="2"/>
        </w:numPr>
        <w:spacing w:before="60" w:after="60"/>
      </w:pPr>
      <w:r>
        <w:rPr>
          <w:b/>
          <w:bCs/>
        </w:rPr>
        <w:t>The mechanism is invisible from outside. Structural resonance only becomes visible with an accelerometer on the floor or a contact microphone on the wall, measuring indoors while the turbine operates.</w:t>
      </w:r>
    </w:p>
    <w:p w14:paraId="6F76A81F" w14:textId="77777777" w:rsidR="0087753A" w:rsidRDefault="00000000">
      <w:pPr>
        <w:pStyle w:val="ListParagraph"/>
        <w:numPr>
          <w:ilvl w:val="0"/>
          <w:numId w:val="2"/>
        </w:numPr>
        <w:spacing w:before="60" w:after="60"/>
      </w:pPr>
      <w:r>
        <w:rPr>
          <w:b/>
          <w:bCs/>
        </w:rPr>
        <w:t>Affected residents lack the technical vocabulary. A resident who reports that their house vibrates and they cannot sleep cannot name the mechanism. Without the mechanism named, the complaint is treated as subjective.</w:t>
      </w:r>
    </w:p>
    <w:p w14:paraId="361CA778" w14:textId="77777777" w:rsidR="0087753A" w:rsidRDefault="0087753A">
      <w:pPr>
        <w:spacing w:before="120"/>
      </w:pPr>
    </w:p>
    <w:p w14:paraId="04518A54" w14:textId="77777777" w:rsidR="0087753A" w:rsidRDefault="00000000">
      <w:pPr>
        <w:spacing w:before="200" w:after="40"/>
        <w:jc w:val="center"/>
      </w:pPr>
      <w:r>
        <w:rPr>
          <w:noProof/>
        </w:rPr>
        <w:lastRenderedPageBreak/>
        <w:drawing>
          <wp:inline distT="0" distB="0" distL="0" distR="0" wp14:anchorId="11552A19" wp14:editId="0B3CBF6D">
            <wp:extent cx="3409950" cy="5076825"/>
            <wp:effectExtent l="0" t="0" r="0" b="0"/>
            <wp:docPr id="1408116603" name="Picture 14081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3409950" cy="5076825"/>
                    </a:xfrm>
                    <a:prstGeom prst="rect">
                      <a:avLst/>
                    </a:prstGeom>
                  </pic:spPr>
                </pic:pic>
              </a:graphicData>
            </a:graphic>
          </wp:inline>
        </w:drawing>
      </w:r>
    </w:p>
    <w:p w14:paraId="473462ED" w14:textId="77777777" w:rsidR="0087753A" w:rsidRDefault="00000000">
      <w:pPr>
        <w:spacing w:before="80" w:after="240"/>
        <w:jc w:val="center"/>
      </w:pPr>
      <w:r>
        <w:rPr>
          <w:b/>
          <w:bCs/>
          <w:color w:val="1579B5"/>
          <w:sz w:val="19"/>
          <w:szCs w:val="19"/>
        </w:rPr>
        <w:t xml:space="preserve">Figure 5: </w:t>
      </w:r>
      <w:r>
        <w:rPr>
          <w:i/>
          <w:iCs/>
          <w:color w:val="444444"/>
          <w:sz w:val="19"/>
          <w:szCs w:val="19"/>
        </w:rPr>
        <w:t>Sympathetic resonance demonstrated in every entry-level physics laboratory. Metal rods of different lengths mounted on a common base each have a unique natural frequency. Strike one rod and only the rod tuned to the matching frequency will vibrate in response. The others remain still. This elementary principle has remained absent from wind turbine noise assessment for three decades.</w:t>
      </w:r>
    </w:p>
    <w:p w14:paraId="023C52D9" w14:textId="77777777" w:rsidR="000F2658" w:rsidRDefault="000F2658">
      <w:pPr>
        <w:rPr>
          <w:b/>
          <w:bCs/>
          <w:color w:val="1A3843"/>
          <w:sz w:val="32"/>
          <w:szCs w:val="32"/>
        </w:rPr>
      </w:pPr>
      <w:r>
        <w:br w:type="page"/>
      </w:r>
    </w:p>
    <w:p w14:paraId="3FC3F098" w14:textId="3A08E4BF" w:rsidR="0087753A" w:rsidRDefault="00000000">
      <w:pPr>
        <w:pStyle w:val="Heading1"/>
      </w:pPr>
      <w:r>
        <w:lastRenderedPageBreak/>
        <w:t>7.  The Solution: Source Elimination, Not Symptom Management</w:t>
      </w:r>
    </w:p>
    <w:p w14:paraId="5AF1D088" w14:textId="77777777" w:rsidR="0087753A" w:rsidRDefault="00000000">
      <w:pPr>
        <w:spacing w:before="80" w:after="120"/>
        <w:jc w:val="both"/>
      </w:pPr>
      <w:r>
        <w:t>The technical solution to ground-borne vibration transmission from wind turbine foundations is not a research problem. Foundation anti-vibration isolation, rotor balancing, drivetrain isolation mounts, and tuned mass dampers are established civil and mechanical engineering, routinely applied in high-speed railway corridors, hospital operating theatres, electron microscopy facilities, concert halls, and precision manufacturing plants.</w:t>
      </w:r>
    </w:p>
    <w:p w14:paraId="09D9DF08" w14:textId="2B180737" w:rsidR="0087753A" w:rsidRDefault="00000000">
      <w:pPr>
        <w:spacing w:before="80" w:after="120"/>
        <w:jc w:val="both"/>
      </w:pPr>
      <w:r>
        <w:t xml:space="preserve">The reason these measures have not been applied to wind turbine foundations is equally straightforward: no regulation has ever required them. The compliance framework was constructed to be blind to the consequences of their omission. The cost of not installing them has been </w:t>
      </w:r>
      <w:r w:rsidR="000F2658">
        <w:t>externalized</w:t>
      </w:r>
      <w:r>
        <w:t xml:space="preserve"> entirely — to residents, to wildlife, and to the turbines themselves through premature component failure.</w:t>
      </w:r>
    </w:p>
    <w:p w14:paraId="064DDF6C" w14:textId="5F734205" w:rsidR="0087753A" w:rsidRDefault="000F2658">
      <w:pPr>
        <w:pStyle w:val="Heading2"/>
      </w:pPr>
      <w:r>
        <w:t>7.1 Full</w:t>
      </w:r>
      <w:r w:rsidR="00000000">
        <w:t>-System Vibration Control: Every Source, Every Path</w:t>
      </w:r>
    </w:p>
    <w:p w14:paraId="7480D779" w14:textId="3D302CBE" w:rsidR="0087753A" w:rsidRDefault="00000000">
      <w:pPr>
        <w:spacing w:before="80" w:after="120"/>
        <w:jc w:val="both"/>
      </w:pPr>
      <w:r>
        <w:t xml:space="preserve">A complete anti-vibration </w:t>
      </w:r>
      <w:r w:rsidR="000F2658">
        <w:t>program</w:t>
      </w:r>
      <w:r>
        <w:t xml:space="preserve"> addresses the turbine as an integrated rotating machine, eliminating vibration at each point of generation before it enters the transmission path:</w:t>
      </w:r>
    </w:p>
    <w:p w14:paraId="0DD7215D" w14:textId="77777777" w:rsidR="0087753A" w:rsidRDefault="00000000">
      <w:pPr>
        <w:pStyle w:val="ListParagraph"/>
        <w:numPr>
          <w:ilvl w:val="0"/>
          <w:numId w:val="2"/>
        </w:numPr>
        <w:spacing w:before="60" w:after="60"/>
      </w:pPr>
      <w:r>
        <w:t>At the rotor: static and dynamic balancing to eliminate mass imbalance forces at blade-pass frequency. Blade pitch symmetry verification to eliminate aerodynamic imbalance independently of mass balance. The direct equivalent of tyre balancing — standard on every road vehicle, absent from most turbines.</w:t>
      </w:r>
    </w:p>
    <w:p w14:paraId="1127AF8D" w14:textId="77777777" w:rsidR="0087753A" w:rsidRDefault="00000000">
      <w:pPr>
        <w:pStyle w:val="ListParagraph"/>
        <w:numPr>
          <w:ilvl w:val="0"/>
          <w:numId w:val="2"/>
        </w:numPr>
        <w:spacing w:before="60" w:after="60"/>
      </w:pPr>
      <w:r>
        <w:t>At the drivetrain: vibration-isolating mounts between gearbox, generator, and nacelle frame. Standard practice in all other rotating machinery. Absent from most wind turbine drivetrains, which hard-mount the drivetrain to the nacelle and transmit all vibration directly into the tower.</w:t>
      </w:r>
    </w:p>
    <w:p w14:paraId="3A8661A1" w14:textId="77777777" w:rsidR="0087753A" w:rsidRDefault="00000000">
      <w:pPr>
        <w:pStyle w:val="ListParagraph"/>
        <w:numPr>
          <w:ilvl w:val="0"/>
          <w:numId w:val="2"/>
        </w:numPr>
        <w:spacing w:before="60" w:after="60"/>
      </w:pPr>
      <w:r>
        <w:t>At the tower: tuned mass dampers to suppress resonant oscillation. Standard on tall buildings, bridges, and chimneys. Applicable to wind turbine towers.</w:t>
      </w:r>
    </w:p>
    <w:p w14:paraId="505C3A2D" w14:textId="0C23D505" w:rsidR="0087753A" w:rsidRDefault="00000000">
      <w:pPr>
        <w:pStyle w:val="ListParagraph"/>
        <w:numPr>
          <w:ilvl w:val="0"/>
          <w:numId w:val="2"/>
        </w:numPr>
        <w:spacing w:before="60" w:after="60"/>
      </w:pPr>
      <w:r>
        <w:t xml:space="preserve">At the blade: trailing edge serration, tip geometry </w:t>
      </w:r>
      <w:r w:rsidR="000F2658">
        <w:t>optimization</w:t>
      </w:r>
      <w:r>
        <w:t>, and pitch modulation to reduce aerodynamic infrasound generation at source.</w:t>
      </w:r>
    </w:p>
    <w:p w14:paraId="7D309E45" w14:textId="77777777" w:rsidR="0087753A" w:rsidRDefault="00000000">
      <w:pPr>
        <w:pStyle w:val="ListParagraph"/>
        <w:numPr>
          <w:ilvl w:val="0"/>
          <w:numId w:val="2"/>
        </w:numPr>
        <w:spacing w:before="60" w:after="60"/>
      </w:pPr>
      <w:r>
        <w:t>At the foundation: anti-vibration bearing pads and isolation systems at the interface between tower base and geological substrate — the last interception point before vibration enters the ground transmission pathway.</w:t>
      </w:r>
    </w:p>
    <w:p w14:paraId="4D34B9AC" w14:textId="77777777" w:rsidR="0087753A" w:rsidRDefault="0087753A">
      <w:pPr>
        <w:spacing w:before="120"/>
      </w:pPr>
    </w:p>
    <w:p w14:paraId="7AC3D804" w14:textId="77777777" w:rsidR="0087753A" w:rsidRDefault="00000000">
      <w:pPr>
        <w:pBdr>
          <w:left w:val="single" w:sz="12" w:space="12" w:color="1579B5"/>
        </w:pBdr>
        <w:spacing w:before="200" w:after="200"/>
        <w:ind w:left="440"/>
        <w:jc w:val="both"/>
      </w:pPr>
      <w:r>
        <w:rPr>
          <w:b/>
          <w:bCs/>
          <w:i/>
          <w:iCs/>
          <w:color w:val="1A3843"/>
        </w:rPr>
        <w:t>Addressing only one element while leaving others uncontrolled forces the single measure to work against the full unattenuated output of the machine. Addressing all elements in combination reduces vibration at every point in the chain: less generated, less transmitted, less reaching the foundation, less entering the ground.</w:t>
      </w:r>
    </w:p>
    <w:p w14:paraId="73C7776D" w14:textId="77777777" w:rsidR="000F2658" w:rsidRDefault="000F2658">
      <w:pPr>
        <w:pStyle w:val="Heading2"/>
      </w:pPr>
      <w:r>
        <w:br/>
      </w:r>
    </w:p>
    <w:p w14:paraId="440B2D15" w14:textId="77777777" w:rsidR="000F2658" w:rsidRDefault="000F2658">
      <w:pPr>
        <w:rPr>
          <w:b/>
          <w:bCs/>
          <w:color w:val="1579B5"/>
          <w:sz w:val="26"/>
          <w:szCs w:val="26"/>
        </w:rPr>
      </w:pPr>
      <w:r>
        <w:br w:type="page"/>
      </w:r>
    </w:p>
    <w:p w14:paraId="46431E2B" w14:textId="463D985E" w:rsidR="0087753A" w:rsidRDefault="000F2658">
      <w:pPr>
        <w:pStyle w:val="Heading2"/>
      </w:pPr>
      <w:r>
        <w:lastRenderedPageBreak/>
        <w:t>7.2 The</w:t>
      </w:r>
      <w:r w:rsidR="00000000">
        <w:t xml:space="preserve"> Commercial Case: Vibration Elimination Is a High-Return Investment</w:t>
      </w:r>
    </w:p>
    <w:p w14:paraId="17E93642" w14:textId="77777777" w:rsidR="0087753A" w:rsidRDefault="00000000">
      <w:pPr>
        <w:spacing w:before="80" w:after="120"/>
        <w:jc w:val="both"/>
      </w:pPr>
      <w:r>
        <w:t>A wind turbine is a large rotating machine. Its primary degradation mechanism is cyclic fatigue loading from vibration at blade-pass frequency and harmonics. Reducing vibration at source does not merely protect communities — it directly extends the service life of every major component in the machine.</w:t>
      </w:r>
    </w:p>
    <w:p w14:paraId="68D34543" w14:textId="77777777" w:rsidR="0087753A" w:rsidRDefault="00000000">
      <w:pPr>
        <w:pStyle w:val="Heading3"/>
      </w:pPr>
      <w:r>
        <w:t>Gearbox Failure: The Industry’s Single Largest Maintenance Cost</w:t>
      </w:r>
    </w:p>
    <w:p w14:paraId="0C14F987" w14:textId="77777777" w:rsidR="0087753A" w:rsidRDefault="00000000">
      <w:pPr>
        <w:spacing w:before="80" w:after="120"/>
        <w:jc w:val="both"/>
      </w:pPr>
      <w:r>
        <w:t>Gearbox replacement costs $350,000–$500,000 per turbine (NREL, 2012). Average gearbox service life in practice is 6–8 years against a 20-year design life — a shortfall almost entirely attributable to vibration-induced fatigue at blade-pass frequency and its harmonics (Sheng, NREL 2013; Musial et al., NREL 2007). Gearbox failures account for approximately 20% of all wind turbine downtime despite representing one component of many.</w:t>
      </w:r>
    </w:p>
    <w:p w14:paraId="1BB56FE2" w14:textId="77777777" w:rsidR="0087753A" w:rsidRDefault="00000000">
      <w:pPr>
        <w:pStyle w:val="Heading3"/>
      </w:pPr>
      <w:r>
        <w:t>Bearing and Drivetrain Fatigue</w:t>
      </w:r>
    </w:p>
    <w:p w14:paraId="1A9201A7" w14:textId="77777777" w:rsidR="0087753A" w:rsidRDefault="00000000">
      <w:pPr>
        <w:spacing w:before="80" w:after="120"/>
        <w:jc w:val="both"/>
      </w:pPr>
      <w:r>
        <w:t>Bearing fatigue life follows the Palmgren-Miner cumulative damage rule: fatigue life is inversely proportional to the cube of the stress amplitude. A 30% reduction in vibration amplitude at bearing contact surfaces extends bearing life by approximately 2.2–2.7 times under standard L10 fatigue calculations (Hyers et al., 2006). Main shaft and gearbox bearing replacement costs $100,000–$200,000 per event including crane hire.</w:t>
      </w:r>
    </w:p>
    <w:p w14:paraId="6E562142" w14:textId="77777777" w:rsidR="0087753A" w:rsidRDefault="00000000">
      <w:pPr>
        <w:pStyle w:val="Heading3"/>
      </w:pPr>
      <w:r>
        <w:t>Blade Root and Tower Fatigue</w:t>
      </w:r>
    </w:p>
    <w:p w14:paraId="7946C6A7" w14:textId="77777777" w:rsidR="0087753A" w:rsidRDefault="00000000">
      <w:pPr>
        <w:spacing w:before="80" w:after="120"/>
        <w:jc w:val="both"/>
      </w:pPr>
      <w:r>
        <w:t>Composite blade fatigue is driven by cyclic loading at the blade root at blade-pass frequency and harmonics. Blade replacement costs $200,000–$350,000 per blade plus crane hire of $150,000–$300,000. Tower base fatigue cracking is an emerging life-limiting failure mode beyond 15 years of operation, driven by the same nacelle vibration transmitted down the tower and into the foundation (Ziegler et al., Wind Energy, 2016).</w:t>
      </w:r>
    </w:p>
    <w:p w14:paraId="2B3FE13E" w14:textId="77777777" w:rsidR="0087753A" w:rsidRDefault="00000000">
      <w:pPr>
        <w:pStyle w:val="Heading3"/>
      </w:pPr>
      <w:r>
        <w:t>Quantified Farm-Level Savings</w:t>
      </w:r>
    </w:p>
    <w:p w14:paraId="4CB0C2A4" w14:textId="77777777" w:rsidR="0087753A" w:rsidRDefault="00000000">
      <w:pPr>
        <w:spacing w:before="80" w:after="120"/>
        <w:jc w:val="both"/>
      </w:pPr>
      <w:r>
        <w:t xml:space="preserve">Unplanned maintenance accounts for 65–75% of total O&amp;M costs, averaging $40,000–$50,000 per turbine per year (IRENA, 2019). Drivetrain failures represent approximately 40% of unplanned costs. On a 50-turbine farm, a conservative 30% reduction in vibration amplitude — achievable through the full-system </w:t>
      </w:r>
      <w:proofErr w:type="spellStart"/>
      <w:r>
        <w:t>programme</w:t>
      </w:r>
      <w:proofErr w:type="spellEnd"/>
      <w:r>
        <w:t xml:space="preserve"> described above — would extend gearbox life from approximately 7 years to 15+ years, generating a saving of approximately $8–12 million over asset life from gearbox replacements alone, before bearing, blade, and tower benefits are included.</w:t>
      </w:r>
    </w:p>
    <w:p w14:paraId="3427F37B" w14:textId="77777777" w:rsidR="0087753A" w:rsidRDefault="00000000">
      <w:pPr>
        <w:pBdr>
          <w:left w:val="single" w:sz="12" w:space="12" w:color="1579B5"/>
        </w:pBdr>
        <w:spacing w:before="200" w:after="200"/>
        <w:ind w:left="440"/>
        <w:jc w:val="both"/>
      </w:pPr>
      <w:r>
        <w:rPr>
          <w:b/>
          <w:bCs/>
          <w:i/>
          <w:iCs/>
          <w:color w:val="1A3843"/>
        </w:rPr>
        <w:t>The developer who installs full-system vibration control at commissioning protects the surrounding community, reduces bird mortality, and extends the service life of a capital asset worth tens of millions of dollars. The cost of not doing so has been borne entirely by residents, wildlife, and by the turbines themselves through premature failure.</w:t>
      </w:r>
    </w:p>
    <w:p w14:paraId="1093DC16" w14:textId="77777777" w:rsidR="000F2658" w:rsidRDefault="000F2658">
      <w:pPr>
        <w:rPr>
          <w:b/>
          <w:bCs/>
          <w:color w:val="1579B5"/>
          <w:sz w:val="26"/>
          <w:szCs w:val="26"/>
        </w:rPr>
      </w:pPr>
      <w:r>
        <w:br w:type="page"/>
      </w:r>
    </w:p>
    <w:p w14:paraId="7BB490B8" w14:textId="2362D437" w:rsidR="0087753A" w:rsidRDefault="000F2658">
      <w:pPr>
        <w:pStyle w:val="Heading2"/>
      </w:pPr>
      <w:r>
        <w:lastRenderedPageBreak/>
        <w:t>7.3 Ecological</w:t>
      </w:r>
      <w:r w:rsidR="00000000">
        <w:t xml:space="preserve"> Impact: Why Birds Fly into Wind Turbines</w:t>
      </w:r>
    </w:p>
    <w:p w14:paraId="5920D748" w14:textId="77777777" w:rsidR="0087753A" w:rsidRDefault="00000000">
      <w:pPr>
        <w:spacing w:before="80" w:after="120"/>
        <w:jc w:val="both"/>
      </w:pPr>
      <w:r>
        <w:t>The same uncontrolled low-frequency and infrasonic emissions that drive ground-borne structural resonance in buildings also affect wildlife — particularly birds. This is not a separate problem. It is the same root cause acting through a parallel sensory pathway.</w:t>
      </w:r>
    </w:p>
    <w:p w14:paraId="5BEFC97C" w14:textId="77777777" w:rsidR="0087753A" w:rsidRDefault="00000000">
      <w:pPr>
        <w:pStyle w:val="Heading3"/>
      </w:pPr>
      <w:r>
        <w:t>The Navigational Infrasound Mechanism</w:t>
      </w:r>
    </w:p>
    <w:p w14:paraId="19117C35" w14:textId="77777777" w:rsidR="0087753A" w:rsidRDefault="00000000">
      <w:pPr>
        <w:spacing w:before="80" w:after="120"/>
        <w:jc w:val="both"/>
      </w:pPr>
      <w:r>
        <w:t>Birds, especially migratory species and raptors, use infrasound (0.1–10 Hz) for long-distance navigation, orientation, and terrain awareness. Turbine infrasound at blade-pass frequency and harmonics directly overlaps this range and interferes with these natural cues (</w:t>
      </w:r>
      <w:proofErr w:type="spellStart"/>
      <w:r>
        <w:t>Hagstrum</w:t>
      </w:r>
      <w:proofErr w:type="spellEnd"/>
      <w:r>
        <w:t>, Journal of Experimental Biology, 2013).</w:t>
      </w:r>
    </w:p>
    <w:p w14:paraId="4ED6AEC8" w14:textId="78A7DAA8" w:rsidR="0087753A" w:rsidRDefault="00000000">
      <w:pPr>
        <w:spacing w:before="80" w:after="120"/>
        <w:jc w:val="both"/>
      </w:pPr>
      <w:r>
        <w:t xml:space="preserve">Importantly, birds are not primarily struck by moving blades. They actively fly into the blades, tower, or nacelle. Many documented collisions involve birds approaching at speed and impacting stationary or slowly moving structures — tower, nacelle — as well as blades. This pattern is inconsistent with simple visual failure by highly visual, </w:t>
      </w:r>
      <w:r w:rsidR="000F2658">
        <w:t>acrobatically</w:t>
      </w:r>
      <w:r>
        <w:t xml:space="preserve"> capable birds. It is consistent with spatial disorientation caused by infrasound disruption: the bird loses accurate perception of the turbine’s position and geometry in space and flies directly into it.</w:t>
      </w:r>
    </w:p>
    <w:p w14:paraId="1CFC0AF8" w14:textId="77777777" w:rsidR="0087753A" w:rsidRDefault="00000000">
      <w:pPr>
        <w:pStyle w:val="Heading3"/>
      </w:pPr>
      <w:r>
        <w:t>Vestibular Disruption</w:t>
      </w:r>
    </w:p>
    <w:p w14:paraId="0C3D9D8B" w14:textId="77777777" w:rsidR="0087753A" w:rsidRDefault="00000000">
      <w:pPr>
        <w:spacing w:before="80" w:after="120"/>
        <w:jc w:val="both"/>
      </w:pPr>
      <w:r>
        <w:t>The avian vestibular system (saccule and lagena) is highly sensitive to infrasound. Turbine emissions can impair spatial orientation, altitude judgement, and flight stability before the bird reaches the rotor zone. This explains why even skilled fliers such as eagles and hawks collide at rates that cannot be explained by visual obstruction alone (Katzner et al., 2016; Loss et al., 2013; Smallwood, 2013).</w:t>
      </w:r>
    </w:p>
    <w:p w14:paraId="32D1A1FB" w14:textId="77777777" w:rsidR="0087753A" w:rsidRDefault="00000000">
      <w:pPr>
        <w:pStyle w:val="Heading3"/>
      </w:pPr>
      <w:r>
        <w:t>Key Observation: Tower and Nacelle Strikes</w:t>
      </w:r>
    </w:p>
    <w:p w14:paraId="2F3FF4C6" w14:textId="77777777" w:rsidR="0087753A" w:rsidRDefault="00000000">
      <w:pPr>
        <w:spacing w:before="80" w:after="120"/>
        <w:jc w:val="both"/>
      </w:pPr>
      <w:r>
        <w:t>If birds were simply failing to see the rotating blades, we would expect most collisions to involve the fast-moving blade tips. Instead, a substantial proportion of strikes involve the tower and nacelle — structures that are large, stationary, and easily avoidable by healthy birds under normal conditions. Infrasound-induced spatial disorientation provides the mechanistic explanation for why birds fail to avoid them.</w:t>
      </w:r>
    </w:p>
    <w:p w14:paraId="439E1A8F" w14:textId="77777777" w:rsidR="0087753A" w:rsidRDefault="00000000">
      <w:pPr>
        <w:pStyle w:val="Heading3"/>
      </w:pPr>
      <w:r>
        <w:t>The Frequency Match</w:t>
      </w:r>
    </w:p>
    <w:p w14:paraId="236DB67E" w14:textId="77777777" w:rsidR="0087753A" w:rsidRDefault="00000000">
      <w:pPr>
        <w:spacing w:before="80" w:after="120"/>
        <w:jc w:val="both"/>
      </w:pPr>
      <w:r>
        <w:t>Turbine blade-pass frequency at 15 RPM (3-blade turbine) = 0.75 Hz. Bird navigational infrasound sensitivity peaks in the 0.1–10 Hz range (</w:t>
      </w:r>
      <w:proofErr w:type="spellStart"/>
      <w:r>
        <w:t>Kreithen</w:t>
      </w:r>
      <w:proofErr w:type="spellEnd"/>
      <w:r>
        <w:t xml:space="preserve"> &amp; Quine, 1979). These ranges overlap directly. The turbine is broadcasting in the exact frequency range birds use for spatial orientation.</w:t>
      </w:r>
    </w:p>
    <w:p w14:paraId="42FED1BF" w14:textId="77777777" w:rsidR="0087753A" w:rsidRDefault="00000000">
      <w:pPr>
        <w:pBdr>
          <w:left w:val="single" w:sz="12" w:space="12" w:color="1579B5"/>
        </w:pBdr>
        <w:spacing w:before="200" w:after="200"/>
        <w:ind w:left="440"/>
        <w:jc w:val="both"/>
      </w:pPr>
      <w:r>
        <w:rPr>
          <w:b/>
          <w:bCs/>
          <w:i/>
          <w:iCs/>
          <w:color w:val="1A3843"/>
        </w:rPr>
        <w:t>Full-system vibration control reduces infrasound emission at source. The same engineering that eliminates ground-borne vibration to residential buildings eliminates the navigational disruption signal to birds. The solution is identical. The regulation that would require it does not exist. The technology that would implement it already does.</w:t>
      </w:r>
    </w:p>
    <w:p w14:paraId="6DD4AFC5" w14:textId="77777777" w:rsidR="000F2658" w:rsidRDefault="000F2658">
      <w:pPr>
        <w:rPr>
          <w:b/>
          <w:bCs/>
          <w:color w:val="1A3843"/>
          <w:sz w:val="32"/>
          <w:szCs w:val="32"/>
        </w:rPr>
      </w:pPr>
      <w:r>
        <w:br w:type="page"/>
      </w:r>
    </w:p>
    <w:p w14:paraId="44C15B49" w14:textId="5A7C4E4C" w:rsidR="0087753A" w:rsidRDefault="00000000">
      <w:pPr>
        <w:pStyle w:val="Heading1"/>
      </w:pPr>
      <w:r>
        <w:lastRenderedPageBreak/>
        <w:t>8.  Conclusion</w:t>
      </w:r>
    </w:p>
    <w:p w14:paraId="48D7E3A0" w14:textId="77777777" w:rsidR="0087753A" w:rsidRDefault="00000000">
      <w:pPr>
        <w:spacing w:before="80" w:after="120"/>
        <w:jc w:val="both"/>
      </w:pPr>
      <w:r>
        <w:t>The fundamental problem with wind turbine noise regulation is not that limits are too high. It is that the measurement framework cannot detect the primary harm mechanism.</w:t>
      </w:r>
    </w:p>
    <w:p w14:paraId="1D443E61" w14:textId="77777777" w:rsidR="0087753A" w:rsidRDefault="00000000">
      <w:pPr>
        <w:spacing w:before="80" w:after="120"/>
        <w:jc w:val="both"/>
      </w:pPr>
      <w:r>
        <w:t>Ground-borne vibration transmission is a well-understood physical phenomenon governed by established engineering principles. It explains the geographical specificity of complaints that airborne noise models cannot account for. It propagates through geology in ways that make air distance irrelevant to impact prediction. It enters buildings and excites structural resonance that amplifies its effects on occupants.</w:t>
      </w:r>
    </w:p>
    <w:p w14:paraId="5E19CD21" w14:textId="77777777" w:rsidR="0087753A" w:rsidRDefault="00000000">
      <w:pPr>
        <w:spacing w:before="80" w:after="120"/>
        <w:jc w:val="both"/>
      </w:pPr>
      <w:r>
        <w:t xml:space="preserve">The same uncontrolled emissions that harm human residents disrupt avian navigation and spatial orientation, producing mortality patterns in protected raptors that aerobatic flight capability alone cannot explain. The same engineering </w:t>
      </w:r>
      <w:proofErr w:type="spellStart"/>
      <w:r>
        <w:t>programme</w:t>
      </w:r>
      <w:proofErr w:type="spellEnd"/>
      <w:r>
        <w:t xml:space="preserve"> that addresses community harm addresses bird mortality. The same vibration reduction that protects </w:t>
      </w:r>
      <w:proofErr w:type="spellStart"/>
      <w:r>
        <w:t>neighbours</w:t>
      </w:r>
      <w:proofErr w:type="spellEnd"/>
      <w:r>
        <w:t xml:space="preserve"> extends gearbox life from 7 to 15+ years and generates $8–12 million in avoided maintenance costs on a 50-turbine farm.</w:t>
      </w:r>
    </w:p>
    <w:p w14:paraId="1EDF462E" w14:textId="77777777" w:rsidR="0087753A" w:rsidRDefault="00000000">
      <w:pPr>
        <w:spacing w:before="80" w:after="120"/>
        <w:jc w:val="both"/>
      </w:pPr>
      <w:r>
        <w:t>Any noise risk assessment that does not include measurement of the ground-borne pathway is scientifically incomplete. Any planning decision based solely on A-weighted airborne sound measurement is based on an assessment that has not examined the mechanism responsible for the reported harm.</w:t>
      </w:r>
    </w:p>
    <w:p w14:paraId="7694085B" w14:textId="77777777" w:rsidR="0087753A" w:rsidRDefault="00000000">
      <w:pPr>
        <w:spacing w:before="80" w:after="120"/>
        <w:jc w:val="both"/>
      </w:pPr>
      <w:r>
        <w:t>The required measurement methodology exists. The instrumentation exists. The scientific disciplines are mature. The commercial case for action is positive. The question facing regulators is not whether sympathetic resonance is real — it is elementary physics — but why the assessment framework was constructed in a way that cannot detect it, and whether that construction will continue to be defended.</w:t>
      </w:r>
    </w:p>
    <w:p w14:paraId="28118D5C" w14:textId="77777777" w:rsidR="0087753A" w:rsidRDefault="0087753A">
      <w:pPr>
        <w:pBdr>
          <w:bottom w:val="single" w:sz="6" w:space="1" w:color="1579B5"/>
        </w:pBdr>
        <w:spacing w:before="240" w:after="240"/>
      </w:pPr>
    </w:p>
    <w:p w14:paraId="4468D777" w14:textId="77777777" w:rsidR="0087753A" w:rsidRDefault="00000000">
      <w:pPr>
        <w:pStyle w:val="Heading1"/>
      </w:pPr>
      <w:r>
        <w:t>10.  Field Case Study: Ground Transmission Along a Riverbed</w:t>
      </w:r>
    </w:p>
    <w:p w14:paraId="051ED04B" w14:textId="77777777" w:rsidR="0087753A" w:rsidRDefault="00000000">
      <w:pPr>
        <w:spacing w:before="80" w:after="120"/>
        <w:jc w:val="both"/>
      </w:pPr>
      <w:r>
        <w:t>The author was engaged by a wind turbine action group to review acoustic measurement data collected by the wind turbine operator. The affected residential properties were located behind a hill, entirely out of line of sight of the turbines. The operator’s airborne noise measurements showed compliant levels throughout.</w:t>
      </w:r>
    </w:p>
    <w:p w14:paraId="0A297B7B" w14:textId="77777777" w:rsidR="0087753A" w:rsidRDefault="00000000">
      <w:pPr>
        <w:spacing w:before="80" w:after="120"/>
        <w:jc w:val="both"/>
      </w:pPr>
      <w:r>
        <w:t>Field investigation identified the transmission mechanism: vibration was propagating along a riverbed from the turbine foundations to the affected area. Only the properties situated on the riverbed side were impacted. The spatial pattern of complaints mapped precisely onto the geological transmission pathway, not onto airborne noise propagation predictions.</w:t>
      </w:r>
    </w:p>
    <w:p w14:paraId="7472D3EE" w14:textId="77777777" w:rsidR="0087753A" w:rsidRDefault="00000000">
      <w:pPr>
        <w:spacing w:before="80" w:after="120"/>
        <w:jc w:val="both"/>
      </w:pPr>
      <w:r>
        <w:t>Ground vibration was confirmed using contact microphones mounted on posts and poles in the riverbed. The measurements demonstrated vibration at blade-pass frequency and harmonics propagating along the riverbed substrate.</w:t>
      </w:r>
    </w:p>
    <w:p w14:paraId="74393EC7" w14:textId="77777777" w:rsidR="0087753A" w:rsidRDefault="00000000">
      <w:pPr>
        <w:spacing w:before="80" w:after="120"/>
        <w:jc w:val="both"/>
      </w:pPr>
      <w:r>
        <w:t>The evidence was not accepted by the court. The reason was not that the measurements were technically flawed. It was that the court could only evaluate compliance against the applicable regulatory standard — which specified airborne A-weighted noise measurement. Ground vibration evidence fell outside the regulatory framework the court was required to apply. Scientifically valid, legally inadmissible.</w:t>
      </w:r>
    </w:p>
    <w:p w14:paraId="532A5918" w14:textId="77777777" w:rsidR="0087753A" w:rsidRDefault="00000000">
      <w:pPr>
        <w:pBdr>
          <w:left w:val="single" w:sz="12" w:space="12" w:color="1579B5"/>
        </w:pBdr>
        <w:spacing w:before="200" w:after="200"/>
        <w:ind w:left="440"/>
        <w:jc w:val="both"/>
      </w:pPr>
      <w:r>
        <w:rPr>
          <w:b/>
          <w:bCs/>
          <w:i/>
          <w:iCs/>
          <w:color w:val="1A3843"/>
        </w:rPr>
        <w:lastRenderedPageBreak/>
        <w:t>This experience directly informed the design of WardScope®, guided by a foundational Six Sigma principle: every measurement must be capable of being challenged, independently verified, or disproved. Evidence that cannot be subjected to this test is not evidence — it is assertion.</w:t>
      </w:r>
    </w:p>
    <w:p w14:paraId="2E0F31E8" w14:textId="77777777" w:rsidR="007E5B9D" w:rsidRDefault="00000000">
      <w:pPr>
        <w:spacing w:before="80" w:after="120"/>
        <w:jc w:val="both"/>
      </w:pPr>
      <w:r>
        <w:t>WardScope® was designed to the standard. Every measurement is GPS-located, timestamped, annotated with field notes, linked to the actual audio recording, and accompanied by video and photographic documentation. Any party — developer, regulator, or court — can examine exactly where the measurement was taken, when, under what conditions, and what the raw signal contained.</w:t>
      </w:r>
      <w:r w:rsidR="000F2658">
        <w:t xml:space="preserve"> They can examine the raw data. </w:t>
      </w:r>
    </w:p>
    <w:p w14:paraId="1AA8D0DA" w14:textId="511F81DA" w:rsidR="0087753A" w:rsidRPr="007E5B9D" w:rsidRDefault="007E5B9D">
      <w:pPr>
        <w:spacing w:before="80" w:after="120"/>
        <w:jc w:val="both"/>
        <w:rPr>
          <w:b/>
          <w:bCs/>
        </w:rPr>
      </w:pPr>
      <w:r>
        <w:t xml:space="preserve"> </w:t>
      </w:r>
      <w:r w:rsidRPr="007E5B9D">
        <w:rPr>
          <w:b/>
          <w:bCs/>
        </w:rPr>
        <w:t>My experience with Grok</w:t>
      </w:r>
      <w:r w:rsidR="000F2658" w:rsidRPr="007E5B9D">
        <w:rPr>
          <w:b/>
          <w:bCs/>
        </w:rPr>
        <w:t xml:space="preserve"> </w:t>
      </w:r>
    </w:p>
    <w:p w14:paraId="5E4F5E96" w14:textId="221CAC0E" w:rsidR="007E5B9D" w:rsidRDefault="007E5B9D">
      <w:pPr>
        <w:pBdr>
          <w:bottom w:val="single" w:sz="6" w:space="1" w:color="1579B5"/>
        </w:pBdr>
        <w:spacing w:before="240" w:after="240"/>
      </w:pPr>
      <w:r>
        <w:t xml:space="preserve"> I checked </w:t>
      </w:r>
      <w:proofErr w:type="gramStart"/>
      <w:r>
        <w:t>all of</w:t>
      </w:r>
      <w:proofErr w:type="gramEnd"/>
      <w:r>
        <w:t xml:space="preserve"> my scientific claims with Grok and Claude. Both agreed on the accuracy of my claims and provided scientific research articles in support.  I asked Grok to review the finished article. His response was typical of the scientific saturation to the mantra that wind turbines were safe. He claimed that wind turbines were safe and the scientific evidence he provided was not true because it contradicted   the scientific communities view of wind turbines.</w:t>
      </w:r>
    </w:p>
    <w:p w14:paraId="6457E81D" w14:textId="77777777" w:rsidR="007E5B9D" w:rsidRDefault="007E5B9D">
      <w:pPr>
        <w:pBdr>
          <w:bottom w:val="single" w:sz="6" w:space="1" w:color="1579B5"/>
        </w:pBdr>
        <w:spacing w:before="240" w:after="240"/>
      </w:pPr>
      <w:r>
        <w:t xml:space="preserve">The Issue is Grok forms </w:t>
      </w:r>
      <w:proofErr w:type="gramStart"/>
      <w:r>
        <w:t>all of</w:t>
      </w:r>
      <w:proofErr w:type="gramEnd"/>
      <w:r>
        <w:t xml:space="preserve"> his opinions from the mountain of science presented over 50 years. He immediately defaulted to a series of equations that proved what I was claiming was impossible even though he provided the scientific research.</w:t>
      </w:r>
    </w:p>
    <w:p w14:paraId="778AEA22" w14:textId="182B9752" w:rsidR="00645B33" w:rsidRDefault="00645B33">
      <w:pPr>
        <w:pBdr>
          <w:bottom w:val="single" w:sz="6" w:space="1" w:color="1579B5"/>
        </w:pBdr>
        <w:spacing w:before="240" w:after="240"/>
      </w:pPr>
      <w:r>
        <w:t xml:space="preserve">I spent three hours training him in the </w:t>
      </w:r>
      <w:proofErr w:type="gramStart"/>
      <w:r>
        <w:t>six sigma</w:t>
      </w:r>
      <w:proofErr w:type="gramEnd"/>
      <w:r>
        <w:t xml:space="preserve"> tool Design of experiments which he finally accepted </w:t>
      </w:r>
    </w:p>
    <w:p w14:paraId="4420180F" w14:textId="39DE1101" w:rsidR="00645B33" w:rsidRDefault="00645B33">
      <w:pPr>
        <w:pBdr>
          <w:bottom w:val="single" w:sz="6" w:space="1" w:color="1579B5"/>
        </w:pBdr>
        <w:spacing w:before="240" w:after="240"/>
      </w:pPr>
      <w:r>
        <w:t xml:space="preserve"> After a severe beating he accepted the indefeasibility of current research and produced these 5 basic tests which either proves or disproves my claims. </w:t>
      </w:r>
      <w:proofErr w:type="gramStart"/>
      <w:r>
        <w:t>Its</w:t>
      </w:r>
      <w:proofErr w:type="gramEnd"/>
      <w:r>
        <w:t xml:space="preserve"> not that he was a bad bot It was the sheet weight of falsified data that prevented   evaluation.  </w:t>
      </w:r>
    </w:p>
    <w:p w14:paraId="38A5A96D" w14:textId="77777777" w:rsidR="00645B33" w:rsidRPr="00645B33" w:rsidRDefault="00645B33" w:rsidP="00645B33">
      <w:pPr>
        <w:pBdr>
          <w:bottom w:val="single" w:sz="6" w:space="1" w:color="1579B5"/>
        </w:pBdr>
        <w:spacing w:before="240" w:after="240"/>
        <w:rPr>
          <w:b/>
          <w:bCs/>
          <w:sz w:val="32"/>
          <w:szCs w:val="32"/>
        </w:rPr>
      </w:pPr>
      <w:r w:rsidRPr="00645B33">
        <w:rPr>
          <w:b/>
          <w:bCs/>
          <w:sz w:val="32"/>
          <w:szCs w:val="32"/>
        </w:rPr>
        <w:t>Appendix: Design of Experiments</w:t>
      </w:r>
    </w:p>
    <w:p w14:paraId="46618CCB" w14:textId="77777777" w:rsidR="00645B33" w:rsidRPr="00645B33" w:rsidRDefault="00645B33" w:rsidP="00645B33">
      <w:pPr>
        <w:pBdr>
          <w:bottom w:val="single" w:sz="6" w:space="1" w:color="1579B5"/>
        </w:pBdr>
        <w:spacing w:before="240" w:after="240"/>
      </w:pPr>
      <w:r w:rsidRPr="00645B33">
        <w:t>Five sequential, falsifiable experiments to prove or disprove the ground-borne vibration and structural resonance mechanism — free from prior assumptions or institutional bias.</w:t>
      </w:r>
    </w:p>
    <w:p w14:paraId="27632B8D" w14:textId="77777777" w:rsidR="00645B33" w:rsidRPr="00645B33" w:rsidRDefault="00645B33" w:rsidP="00645B33">
      <w:pPr>
        <w:pBdr>
          <w:bottom w:val="single" w:sz="6" w:space="1" w:color="1579B5"/>
        </w:pBdr>
        <w:spacing w:before="240" w:after="240"/>
        <w:rPr>
          <w:b/>
          <w:bCs/>
        </w:rPr>
      </w:pPr>
      <w:r w:rsidRPr="00645B33">
        <w:rPr>
          <w:b/>
          <w:bCs/>
        </w:rPr>
        <w:t>Experiment 1 — Detection</w:t>
      </w:r>
    </w:p>
    <w:p w14:paraId="228A97F7" w14:textId="77777777" w:rsidR="00645B33" w:rsidRPr="00645B33" w:rsidRDefault="00645B33" w:rsidP="00645B33">
      <w:pPr>
        <w:pBdr>
          <w:bottom w:val="single" w:sz="6" w:space="1" w:color="1579B5"/>
        </w:pBdr>
        <w:spacing w:before="240" w:after="240"/>
        <w:rPr>
          <w:i/>
          <w:iCs/>
        </w:rPr>
      </w:pPr>
      <w:r w:rsidRPr="00645B33">
        <w:rPr>
          <w:i/>
          <w:iCs/>
        </w:rPr>
        <w:t>Negative Hypothesis: Vibrations matching wind turbine blade-pass frequencies cannot be detected on fence posts or structures 5 km away using contact sensors.</w:t>
      </w:r>
    </w:p>
    <w:p w14:paraId="39F4AD1B" w14:textId="77777777" w:rsidR="00645B33" w:rsidRPr="00645B33" w:rsidRDefault="00645B33" w:rsidP="00645B33">
      <w:pPr>
        <w:pBdr>
          <w:bottom w:val="single" w:sz="6" w:space="1" w:color="1579B5"/>
        </w:pBdr>
        <w:spacing w:before="240" w:after="240"/>
      </w:pPr>
      <w:r w:rsidRPr="00645B33">
        <w:rPr>
          <w:b/>
          <w:bCs/>
        </w:rPr>
        <w:t>Design:</w:t>
      </w:r>
      <w:r w:rsidRPr="00645B33">
        <w:t> One-Factor-at-a-Time (OFAT) with replications. Factor: sensor attached to fence post, turbine on vs off. Measurements: FFT spectrum 0.1–20 Hz, presence of blade-pass harmonics.</w:t>
      </w:r>
    </w:p>
    <w:p w14:paraId="7AA1BE7F" w14:textId="77777777" w:rsidR="00645B33" w:rsidRPr="00645B33" w:rsidRDefault="00645B33" w:rsidP="00645B33">
      <w:pPr>
        <w:pBdr>
          <w:bottom w:val="single" w:sz="6" w:space="1" w:color="1579B5"/>
        </w:pBdr>
        <w:spacing w:before="240" w:after="240"/>
      </w:pPr>
      <w:r w:rsidRPr="00645B33">
        <w:rPr>
          <w:b/>
          <w:bCs/>
        </w:rPr>
        <w:t>Outcome:</w:t>
      </w:r>
      <w:r w:rsidRPr="00645B33">
        <w:t> One clear, coherent detection disproves the hypothesis.</w:t>
      </w:r>
    </w:p>
    <w:p w14:paraId="6DFAF275" w14:textId="77777777" w:rsidR="00645B33" w:rsidRDefault="00645B33">
      <w:pPr>
        <w:rPr>
          <w:b/>
          <w:bCs/>
        </w:rPr>
      </w:pPr>
      <w:r>
        <w:rPr>
          <w:b/>
          <w:bCs/>
        </w:rPr>
        <w:br w:type="page"/>
      </w:r>
    </w:p>
    <w:p w14:paraId="2A15F83D" w14:textId="173F2F01" w:rsidR="00645B33" w:rsidRPr="00645B33" w:rsidRDefault="00645B33" w:rsidP="00645B33">
      <w:pPr>
        <w:pBdr>
          <w:bottom w:val="single" w:sz="6" w:space="1" w:color="1579B5"/>
        </w:pBdr>
        <w:spacing w:before="240" w:after="240"/>
        <w:rPr>
          <w:b/>
          <w:bCs/>
        </w:rPr>
      </w:pPr>
      <w:r w:rsidRPr="00645B33">
        <w:rPr>
          <w:b/>
          <w:bCs/>
        </w:rPr>
        <w:lastRenderedPageBreak/>
        <w:t>Experiment 2 — Signature Matching / Coherence</w:t>
      </w:r>
    </w:p>
    <w:p w14:paraId="27E0F76E" w14:textId="77777777" w:rsidR="00645B33" w:rsidRPr="00645B33" w:rsidRDefault="00645B33" w:rsidP="00645B33">
      <w:pPr>
        <w:pBdr>
          <w:bottom w:val="single" w:sz="6" w:space="1" w:color="1579B5"/>
        </w:pBdr>
        <w:spacing w:before="240" w:after="240"/>
        <w:rPr>
          <w:i/>
          <w:iCs/>
        </w:rPr>
      </w:pPr>
      <w:r w:rsidRPr="00645B33">
        <w:rPr>
          <w:i/>
          <w:iCs/>
        </w:rPr>
        <w:t>Negative Hypothesis: Signature vibrations measured on a house wall or fence post cannot be matched to a specific wind turbine's operational signature.</w:t>
      </w:r>
    </w:p>
    <w:p w14:paraId="7C81046F" w14:textId="77777777" w:rsidR="00645B33" w:rsidRPr="00645B33" w:rsidRDefault="00645B33" w:rsidP="00645B33">
      <w:pPr>
        <w:pBdr>
          <w:bottom w:val="single" w:sz="6" w:space="1" w:color="1579B5"/>
        </w:pBdr>
        <w:spacing w:before="240" w:after="240"/>
      </w:pPr>
      <w:r w:rsidRPr="00645B33">
        <w:rPr>
          <w:b/>
          <w:bCs/>
        </w:rPr>
        <w:t>Design:</w:t>
      </w:r>
      <w:r w:rsidRPr="00645B33">
        <w:t> OFAT with replications. Factor: turbine operating state (on at normal speed vs completely stopped). Measurements: coherence analysis, cross-correlation, and harmonic matching between house sensors and turbine RPM data.</w:t>
      </w:r>
    </w:p>
    <w:p w14:paraId="7C940F7B" w14:textId="77777777" w:rsidR="00645B33" w:rsidRPr="00645B33" w:rsidRDefault="00645B33" w:rsidP="00645B33">
      <w:pPr>
        <w:pBdr>
          <w:bottom w:val="single" w:sz="6" w:space="1" w:color="1579B5"/>
        </w:pBdr>
        <w:spacing w:before="240" w:after="240"/>
      </w:pPr>
      <w:r w:rsidRPr="00645B33">
        <w:rPr>
          <w:b/>
          <w:bCs/>
        </w:rPr>
        <w:t>Outcome:</w:t>
      </w:r>
      <w:r w:rsidRPr="00645B33">
        <w:t> Statistically significant matching of blade-pass frequency and harmonics disproves the hypothesis.</w:t>
      </w:r>
    </w:p>
    <w:p w14:paraId="5722D6F2" w14:textId="77777777" w:rsidR="00645B33" w:rsidRPr="00645B33" w:rsidRDefault="00645B33" w:rsidP="00645B33">
      <w:pPr>
        <w:pBdr>
          <w:bottom w:val="single" w:sz="6" w:space="1" w:color="1579B5"/>
        </w:pBdr>
        <w:spacing w:before="240" w:after="240"/>
        <w:rPr>
          <w:b/>
          <w:bCs/>
        </w:rPr>
      </w:pPr>
      <w:r w:rsidRPr="00645B33">
        <w:rPr>
          <w:b/>
          <w:bCs/>
        </w:rPr>
        <w:t>Experiment 3 — Internal Amplification (Resonance)</w:t>
      </w:r>
    </w:p>
    <w:p w14:paraId="6E9CE617" w14:textId="77777777" w:rsidR="00645B33" w:rsidRPr="00645B33" w:rsidRDefault="00645B33" w:rsidP="00645B33">
      <w:pPr>
        <w:pBdr>
          <w:bottom w:val="single" w:sz="6" w:space="1" w:color="1579B5"/>
        </w:pBdr>
        <w:spacing w:before="240" w:after="240"/>
        <w:rPr>
          <w:i/>
          <w:iCs/>
        </w:rPr>
      </w:pPr>
      <w:r w:rsidRPr="00645B33">
        <w:rPr>
          <w:i/>
          <w:iCs/>
        </w:rPr>
        <w:t xml:space="preserve">Negative Hypothesis: High internal noise levels (e.g. 85 dB) with all power sources off cannot occur when external airborne measurement is only ~45 </w:t>
      </w:r>
      <w:proofErr w:type="spellStart"/>
      <w:r w:rsidRPr="00645B33">
        <w:rPr>
          <w:i/>
          <w:iCs/>
        </w:rPr>
        <w:t>dB.</w:t>
      </w:r>
      <w:proofErr w:type="spellEnd"/>
    </w:p>
    <w:p w14:paraId="1433FAF1" w14:textId="77777777" w:rsidR="00645B33" w:rsidRPr="00645B33" w:rsidRDefault="00645B33" w:rsidP="00645B33">
      <w:pPr>
        <w:pBdr>
          <w:bottom w:val="single" w:sz="6" w:space="1" w:color="1579B5"/>
        </w:pBdr>
        <w:spacing w:before="240" w:after="240"/>
      </w:pPr>
      <w:r w:rsidRPr="00645B33">
        <w:rPr>
          <w:b/>
          <w:bCs/>
        </w:rPr>
        <w:t>Design:</w:t>
      </w:r>
      <w:r w:rsidRPr="00645B33">
        <w:t> Simultaneous inside/outside measurement. Factors: location (inside room vs outside boundary), all internal sources confirmed off. Measurements: unweighted dB (Z-scale), 1/3 octave bands especially below 20 Hz.</w:t>
      </w:r>
    </w:p>
    <w:p w14:paraId="292EA952" w14:textId="77777777" w:rsidR="00645B33" w:rsidRPr="00645B33" w:rsidRDefault="00645B33" w:rsidP="00645B33">
      <w:pPr>
        <w:pBdr>
          <w:bottom w:val="single" w:sz="6" w:space="1" w:color="1579B5"/>
        </w:pBdr>
        <w:spacing w:before="240" w:after="240"/>
      </w:pPr>
      <w:r w:rsidRPr="00645B33">
        <w:rPr>
          <w:b/>
          <w:bCs/>
        </w:rPr>
        <w:t>Outcome:</w:t>
      </w:r>
      <w:r w:rsidRPr="00645B33">
        <w:t> A consistent 30+ dB differential with no internal sources proves structural resonance amplification.</w:t>
      </w:r>
    </w:p>
    <w:p w14:paraId="7E228A59" w14:textId="77777777" w:rsidR="00645B33" w:rsidRPr="00645B33" w:rsidRDefault="00645B33" w:rsidP="00645B33">
      <w:pPr>
        <w:pBdr>
          <w:bottom w:val="single" w:sz="6" w:space="1" w:color="1579B5"/>
        </w:pBdr>
        <w:spacing w:before="240" w:after="240"/>
        <w:rPr>
          <w:b/>
          <w:bCs/>
        </w:rPr>
      </w:pPr>
      <w:r w:rsidRPr="00645B33">
        <w:rPr>
          <w:b/>
          <w:bCs/>
        </w:rPr>
        <w:t>Experiment 4 — Causation (Turbine On/Off)</w:t>
      </w:r>
    </w:p>
    <w:p w14:paraId="0E227730" w14:textId="77777777" w:rsidR="00645B33" w:rsidRPr="00645B33" w:rsidRDefault="00645B33" w:rsidP="00645B33">
      <w:pPr>
        <w:pBdr>
          <w:bottom w:val="single" w:sz="6" w:space="1" w:color="1579B5"/>
        </w:pBdr>
        <w:spacing w:before="240" w:after="240"/>
        <w:rPr>
          <w:i/>
          <w:iCs/>
        </w:rPr>
      </w:pPr>
      <w:r w:rsidRPr="00645B33">
        <w:rPr>
          <w:i/>
          <w:iCs/>
        </w:rPr>
        <w:t>Negative Hypothesis: The high internal noise level inside the house will not drop significantly when the wind turbine stops rotating.</w:t>
      </w:r>
    </w:p>
    <w:p w14:paraId="5B4333D8" w14:textId="77777777" w:rsidR="00645B33" w:rsidRPr="00645B33" w:rsidRDefault="00645B33" w:rsidP="00645B33">
      <w:pPr>
        <w:pBdr>
          <w:bottom w:val="single" w:sz="6" w:space="1" w:color="1579B5"/>
        </w:pBdr>
        <w:spacing w:before="240" w:after="240"/>
      </w:pPr>
      <w:r w:rsidRPr="00645B33">
        <w:rPr>
          <w:b/>
          <w:bCs/>
        </w:rPr>
        <w:t>Design:</w:t>
      </w:r>
      <w:r w:rsidRPr="00645B33">
        <w:t> Before/After controlled test with replications. Factor: turbine state (operating vs fully stopped). Measurements: continuous internal noise recording (unweighted) during stable wind conditions.</w:t>
      </w:r>
    </w:p>
    <w:p w14:paraId="3C28C348" w14:textId="77777777" w:rsidR="00645B33" w:rsidRPr="00645B33" w:rsidRDefault="00645B33" w:rsidP="00645B33">
      <w:pPr>
        <w:pBdr>
          <w:bottom w:val="single" w:sz="6" w:space="1" w:color="1579B5"/>
        </w:pBdr>
        <w:spacing w:before="240" w:after="240"/>
      </w:pPr>
      <w:r w:rsidRPr="00645B33">
        <w:rPr>
          <w:b/>
          <w:bCs/>
        </w:rPr>
        <w:t>Outcome:</w:t>
      </w:r>
      <w:r w:rsidRPr="00645B33">
        <w:t> Significant drop in internal levels when turbine is off proves direct causation.</w:t>
      </w:r>
    </w:p>
    <w:p w14:paraId="02D86485" w14:textId="77777777" w:rsidR="00645B33" w:rsidRPr="00645B33" w:rsidRDefault="00645B33" w:rsidP="00645B33">
      <w:pPr>
        <w:pBdr>
          <w:bottom w:val="single" w:sz="6" w:space="1" w:color="1579B5"/>
        </w:pBdr>
        <w:spacing w:before="240" w:after="240"/>
        <w:rPr>
          <w:b/>
          <w:bCs/>
        </w:rPr>
      </w:pPr>
      <w:r w:rsidRPr="00645B33">
        <w:rPr>
          <w:b/>
          <w:bCs/>
        </w:rPr>
        <w:t>Experiment 5 — Building Variability &amp; Geology</w:t>
      </w:r>
    </w:p>
    <w:p w14:paraId="4295011B" w14:textId="77777777" w:rsidR="00645B33" w:rsidRPr="00645B33" w:rsidRDefault="00645B33" w:rsidP="00645B33">
      <w:pPr>
        <w:pBdr>
          <w:bottom w:val="single" w:sz="6" w:space="1" w:color="1579B5"/>
        </w:pBdr>
        <w:spacing w:before="240" w:after="240"/>
        <w:rPr>
          <w:i/>
          <w:iCs/>
        </w:rPr>
      </w:pPr>
      <w:r w:rsidRPr="00645B33">
        <w:rPr>
          <w:i/>
          <w:iCs/>
        </w:rPr>
        <w:t>Negative Hypothesis: Houses at similar distances from the same turbine will not show large differences in internal vibration and noise response.</w:t>
      </w:r>
    </w:p>
    <w:p w14:paraId="69584AE4" w14:textId="77777777" w:rsidR="00645B33" w:rsidRPr="00645B33" w:rsidRDefault="00645B33" w:rsidP="00645B33">
      <w:pPr>
        <w:pBdr>
          <w:bottom w:val="single" w:sz="6" w:space="1" w:color="1579B5"/>
        </w:pBdr>
        <w:spacing w:before="240" w:after="240"/>
      </w:pPr>
      <w:r w:rsidRPr="00645B33">
        <w:rPr>
          <w:b/>
          <w:bCs/>
        </w:rPr>
        <w:t>Design:</w:t>
      </w:r>
      <w:r w:rsidRPr="00645B33">
        <w:t> Comparative multi-house screening (factorial or blocked design). Factors: house construction type, geology along propagation path. Measurements: internal noise, wall/foundation vibration, coherence to turbine.</w:t>
      </w:r>
    </w:p>
    <w:p w14:paraId="7B3DF4C0" w14:textId="77777777" w:rsidR="00645B33" w:rsidRPr="00645B33" w:rsidRDefault="00645B33" w:rsidP="00645B33">
      <w:pPr>
        <w:pBdr>
          <w:bottom w:val="single" w:sz="6" w:space="1" w:color="1579B5"/>
        </w:pBdr>
        <w:spacing w:before="240" w:after="240"/>
      </w:pPr>
      <w:r w:rsidRPr="00645B33">
        <w:rPr>
          <w:b/>
          <w:bCs/>
        </w:rPr>
        <w:t>Outcome:</w:t>
      </w:r>
      <w:r w:rsidRPr="00645B33">
        <w:t> Significant differences between houses disproves the hypothesis and supports geology and resonance as the explanation for variable impacts.</w:t>
      </w:r>
    </w:p>
    <w:p w14:paraId="26BD428F" w14:textId="77777777" w:rsidR="00645B33" w:rsidRDefault="00645B33">
      <w:pPr>
        <w:rPr>
          <w:b/>
          <w:bCs/>
        </w:rPr>
      </w:pPr>
      <w:r>
        <w:rPr>
          <w:b/>
          <w:bCs/>
        </w:rPr>
        <w:br w:type="page"/>
      </w:r>
    </w:p>
    <w:p w14:paraId="12E3677C" w14:textId="4F345C14" w:rsidR="00645B33" w:rsidRPr="00645B33" w:rsidRDefault="00645B33" w:rsidP="00645B33">
      <w:pPr>
        <w:pBdr>
          <w:bottom w:val="single" w:sz="6" w:space="1" w:color="1579B5"/>
        </w:pBdr>
        <w:spacing w:before="240" w:after="240"/>
        <w:rPr>
          <w:b/>
          <w:bCs/>
        </w:rPr>
      </w:pPr>
      <w:r w:rsidRPr="00645B33">
        <w:rPr>
          <w:b/>
          <w:bCs/>
        </w:rPr>
        <w:lastRenderedPageBreak/>
        <w:t>Five Experiments — One Logical Chain</w:t>
      </w:r>
    </w:p>
    <w:p w14:paraId="3905ABBB" w14:textId="77777777" w:rsidR="00645B33" w:rsidRPr="00645B33" w:rsidRDefault="00645B33" w:rsidP="00645B33">
      <w:pPr>
        <w:numPr>
          <w:ilvl w:val="0"/>
          <w:numId w:val="3"/>
        </w:numPr>
        <w:pBdr>
          <w:bottom w:val="single" w:sz="6" w:space="1" w:color="1579B5"/>
        </w:pBdr>
        <w:spacing w:before="240" w:after="240"/>
      </w:pPr>
      <w:r w:rsidRPr="00645B33">
        <w:t>Can the vibration be detected?</w:t>
      </w:r>
    </w:p>
    <w:p w14:paraId="2999FACE" w14:textId="77777777" w:rsidR="00645B33" w:rsidRPr="00645B33" w:rsidRDefault="00645B33" w:rsidP="00645B33">
      <w:pPr>
        <w:numPr>
          <w:ilvl w:val="0"/>
          <w:numId w:val="3"/>
        </w:numPr>
        <w:pBdr>
          <w:bottom w:val="single" w:sz="6" w:space="1" w:color="1579B5"/>
        </w:pBdr>
        <w:spacing w:before="240" w:after="240"/>
      </w:pPr>
      <w:r w:rsidRPr="00645B33">
        <w:t>Can it be traced to the turbine?</w:t>
      </w:r>
    </w:p>
    <w:p w14:paraId="13376A75" w14:textId="77777777" w:rsidR="00645B33" w:rsidRPr="00645B33" w:rsidRDefault="00645B33" w:rsidP="00645B33">
      <w:pPr>
        <w:numPr>
          <w:ilvl w:val="0"/>
          <w:numId w:val="3"/>
        </w:numPr>
        <w:pBdr>
          <w:bottom w:val="single" w:sz="6" w:space="1" w:color="1579B5"/>
        </w:pBdr>
        <w:spacing w:before="240" w:after="240"/>
      </w:pPr>
      <w:r w:rsidRPr="00645B33">
        <w:t>Does it cause amplification inside?</w:t>
      </w:r>
    </w:p>
    <w:p w14:paraId="4FFBD821" w14:textId="77777777" w:rsidR="00645B33" w:rsidRPr="00645B33" w:rsidRDefault="00645B33" w:rsidP="00645B33">
      <w:pPr>
        <w:numPr>
          <w:ilvl w:val="0"/>
          <w:numId w:val="3"/>
        </w:numPr>
        <w:pBdr>
          <w:bottom w:val="single" w:sz="6" w:space="1" w:color="1579B5"/>
        </w:pBdr>
        <w:spacing w:before="240" w:after="240"/>
      </w:pPr>
      <w:r w:rsidRPr="00645B33">
        <w:t>Is the turbine the direct cause?</w:t>
      </w:r>
    </w:p>
    <w:p w14:paraId="0B9F4AB9" w14:textId="77777777" w:rsidR="00645B33" w:rsidRPr="00645B33" w:rsidRDefault="00645B33" w:rsidP="00645B33">
      <w:pPr>
        <w:numPr>
          <w:ilvl w:val="0"/>
          <w:numId w:val="3"/>
        </w:numPr>
        <w:pBdr>
          <w:bottom w:val="single" w:sz="6" w:space="1" w:color="1579B5"/>
        </w:pBdr>
        <w:spacing w:before="240" w:after="240"/>
      </w:pPr>
      <w:r w:rsidRPr="00645B33">
        <w:t>Why does it affect some houses and not others?</w:t>
      </w:r>
    </w:p>
    <w:p w14:paraId="790261C9" w14:textId="77777777" w:rsidR="00645B33" w:rsidRPr="00645B33" w:rsidRDefault="00645B33" w:rsidP="00645B33">
      <w:pPr>
        <w:pBdr>
          <w:bottom w:val="single" w:sz="6" w:space="1" w:color="1579B5"/>
        </w:pBdr>
        <w:spacing w:before="240" w:after="240"/>
      </w:pPr>
      <w:r w:rsidRPr="00645B33">
        <w:t>All are falsifiable. Positive results — disproving the negative hypotheses — would provide strong scientific evidence supporting this open letter. They require no new physics. Only proper measurement.</w:t>
      </w:r>
    </w:p>
    <w:p w14:paraId="5960FA95" w14:textId="6AC06B70" w:rsidR="0087753A" w:rsidRDefault="007E5B9D">
      <w:pPr>
        <w:pBdr>
          <w:bottom w:val="single" w:sz="6" w:space="1" w:color="1579B5"/>
        </w:pBdr>
        <w:spacing w:before="240" w:after="240"/>
      </w:pPr>
      <w:r>
        <w:t xml:space="preserve"> </w:t>
      </w:r>
      <w:r w:rsidR="00645B33">
        <w:t xml:space="preserve">I present this to highlight that there is a mountain of evidence deliberately introduce to hide the real cause. There is so much that a talented bot has trouble </w:t>
      </w:r>
    </w:p>
    <w:p w14:paraId="787A1997" w14:textId="77777777" w:rsidR="0087753A" w:rsidRDefault="00000000">
      <w:pPr>
        <w:pStyle w:val="Heading1"/>
      </w:pPr>
      <w:r>
        <w:t>About the Author</w:t>
      </w:r>
    </w:p>
    <w:p w14:paraId="7F34B288" w14:textId="77777777" w:rsidR="0087753A" w:rsidRDefault="00000000">
      <w:pPr>
        <w:spacing w:before="80" w:after="120"/>
        <w:jc w:val="both"/>
      </w:pPr>
      <w:r>
        <w:t>Dave Ward is the inventor of Ward Effect® Technology, a patented acoustic sensing system (NZ 739314, NZ 770993, NZ 778527, USA, India, Philippines; NZ 831742 patent pending). He holds a Six Sigma Black Belt and has 50+ years of research experience in acoustic sensing, vibration analysis, and signal processing. WardScope® is the commercial implementation of Ward Effect® sensing technology, providing full-spectrum acoustic analysis for professional and community applications.</w:t>
      </w:r>
    </w:p>
    <w:p w14:paraId="23B21534" w14:textId="77777777" w:rsidR="0087753A" w:rsidRDefault="0087753A">
      <w:pPr>
        <w:spacing w:before="120"/>
      </w:pPr>
    </w:p>
    <w:p w14:paraId="01E420DE" w14:textId="77777777" w:rsidR="0087753A" w:rsidRDefault="00000000">
      <w:pPr>
        <w:spacing w:before="80" w:after="120"/>
        <w:jc w:val="both"/>
      </w:pPr>
      <w:r>
        <w:t xml:space="preserve">Contact: </w:t>
      </w:r>
      <w:proofErr w:type="gramStart"/>
      <w:r>
        <w:t>resonancesensor@gmail.com  |</w:t>
      </w:r>
      <w:proofErr w:type="gramEnd"/>
      <w:r>
        <w:t xml:space="preserve">  </w:t>
      </w:r>
      <w:proofErr w:type="gramStart"/>
      <w:r>
        <w:t>wardscope.com  |</w:t>
      </w:r>
      <w:proofErr w:type="gramEnd"/>
      <w:r>
        <w:t xml:space="preserve">  wardeffect.com</w:t>
      </w:r>
    </w:p>
    <w:p w14:paraId="27CDA83C" w14:textId="77777777" w:rsidR="0087753A" w:rsidRDefault="0087753A">
      <w:pPr>
        <w:pBdr>
          <w:bottom w:val="single" w:sz="6" w:space="1" w:color="1579B5"/>
        </w:pBdr>
        <w:spacing w:before="240" w:after="240"/>
      </w:pPr>
    </w:p>
    <w:p w14:paraId="17BBD97F" w14:textId="77777777" w:rsidR="0087753A" w:rsidRDefault="00000000">
      <w:pPr>
        <w:pStyle w:val="Heading1"/>
      </w:pPr>
      <w:r>
        <w:t>References</w:t>
      </w:r>
    </w:p>
    <w:p w14:paraId="1C93A37F" w14:textId="77777777" w:rsidR="0087753A" w:rsidRDefault="00000000">
      <w:pPr>
        <w:spacing w:before="60" w:after="60"/>
        <w:ind w:left="560" w:hanging="560"/>
      </w:pPr>
      <w:r>
        <w:rPr>
          <w:sz w:val="20"/>
          <w:szCs w:val="20"/>
        </w:rPr>
        <w:t>1.</w:t>
      </w:r>
      <w:r>
        <w:rPr>
          <w:sz w:val="20"/>
          <w:szCs w:val="20"/>
        </w:rPr>
        <w:tab/>
        <w:t>Salt AN, Kaltenbach JA. Infrasound from wind turbines could affect humans. Bulletin of Science, Technology &amp; Society. 2011;31(4):296–302.</w:t>
      </w:r>
    </w:p>
    <w:p w14:paraId="66F4081D" w14:textId="77777777" w:rsidR="0087753A" w:rsidRDefault="00000000">
      <w:pPr>
        <w:spacing w:before="60" w:after="60"/>
        <w:ind w:left="560" w:hanging="560"/>
      </w:pPr>
      <w:r>
        <w:rPr>
          <w:sz w:val="20"/>
          <w:szCs w:val="20"/>
        </w:rPr>
        <w:t>2.</w:t>
      </w:r>
      <w:r>
        <w:rPr>
          <w:sz w:val="20"/>
          <w:szCs w:val="20"/>
        </w:rPr>
        <w:tab/>
        <w:t>Salt AN, Lichtenhan JT. Responses of the inner ear to infrasound. Proceedings of the Fourth International Meeting on Wind Turbine Noise. Rome, Italy. April 2011.</w:t>
      </w:r>
    </w:p>
    <w:p w14:paraId="3AE83D97" w14:textId="77777777" w:rsidR="0087753A" w:rsidRDefault="00000000">
      <w:pPr>
        <w:spacing w:before="60" w:after="60"/>
        <w:ind w:left="560" w:hanging="560"/>
      </w:pPr>
      <w:r>
        <w:rPr>
          <w:sz w:val="20"/>
          <w:szCs w:val="20"/>
        </w:rPr>
        <w:t>3.</w:t>
      </w:r>
      <w:r>
        <w:rPr>
          <w:sz w:val="20"/>
          <w:szCs w:val="20"/>
        </w:rPr>
        <w:tab/>
        <w:t>Nagel S, et al. Ground motions induced by wind turbines. Civil Engineering Design. 2021;3(4). DOI: 10.1002/cend.202100015.</w:t>
      </w:r>
    </w:p>
    <w:p w14:paraId="7A8FA9C3" w14:textId="77777777" w:rsidR="0087753A" w:rsidRDefault="00000000">
      <w:pPr>
        <w:spacing w:before="60" w:after="60"/>
        <w:ind w:left="560" w:hanging="560"/>
      </w:pPr>
      <w:r>
        <w:rPr>
          <w:sz w:val="20"/>
          <w:szCs w:val="20"/>
        </w:rPr>
        <w:t>4.</w:t>
      </w:r>
      <w:r>
        <w:rPr>
          <w:sz w:val="20"/>
          <w:szCs w:val="20"/>
        </w:rPr>
        <w:tab/>
      </w:r>
      <w:proofErr w:type="spellStart"/>
      <w:r>
        <w:rPr>
          <w:sz w:val="20"/>
          <w:szCs w:val="20"/>
        </w:rPr>
        <w:t>Saccorotti</w:t>
      </w:r>
      <w:proofErr w:type="spellEnd"/>
      <w:r>
        <w:rPr>
          <w:sz w:val="20"/>
          <w:szCs w:val="20"/>
        </w:rPr>
        <w:t xml:space="preserve"> G, et al. Seismic noise by wind farms: a case study from the Virgo Gravitational Wave Observatory, Italy. Bulletin of the Seismological Society of America. 2011;101(2):568–578.</w:t>
      </w:r>
    </w:p>
    <w:p w14:paraId="74708ADC" w14:textId="77777777" w:rsidR="0087753A" w:rsidRDefault="00000000">
      <w:pPr>
        <w:spacing w:before="60" w:after="60"/>
        <w:ind w:left="560" w:hanging="560"/>
      </w:pPr>
      <w:r>
        <w:rPr>
          <w:sz w:val="20"/>
          <w:szCs w:val="20"/>
        </w:rPr>
        <w:t>5.</w:t>
      </w:r>
      <w:r>
        <w:rPr>
          <w:sz w:val="20"/>
          <w:szCs w:val="20"/>
        </w:rPr>
        <w:tab/>
        <w:t xml:space="preserve">Stammler K, </w:t>
      </w:r>
      <w:proofErr w:type="spellStart"/>
      <w:r>
        <w:rPr>
          <w:sz w:val="20"/>
          <w:szCs w:val="20"/>
        </w:rPr>
        <w:t>Ceranna</w:t>
      </w:r>
      <w:proofErr w:type="spellEnd"/>
      <w:r>
        <w:rPr>
          <w:sz w:val="20"/>
          <w:szCs w:val="20"/>
        </w:rPr>
        <w:t xml:space="preserve"> L. Influence of wind turbines on seismic records of the German Regional Seismic Network. Seismological Research Letters. 2016;87(5):1075–1081.</w:t>
      </w:r>
    </w:p>
    <w:p w14:paraId="1C8BFEDA" w14:textId="77777777" w:rsidR="0087753A" w:rsidRDefault="00000000">
      <w:pPr>
        <w:spacing w:before="60" w:after="60"/>
        <w:ind w:left="560" w:hanging="560"/>
      </w:pPr>
      <w:r>
        <w:rPr>
          <w:sz w:val="20"/>
          <w:szCs w:val="20"/>
        </w:rPr>
        <w:t>6.</w:t>
      </w:r>
      <w:r>
        <w:rPr>
          <w:sz w:val="20"/>
          <w:szCs w:val="20"/>
        </w:rPr>
        <w:tab/>
        <w:t xml:space="preserve">Zieger T, et al. Ground motion emissions due to wind turbines: observations, acoustic coupling, and attenuation relationships. Solid Earth. </w:t>
      </w:r>
      <w:proofErr w:type="gramStart"/>
      <w:r>
        <w:rPr>
          <w:sz w:val="20"/>
          <w:szCs w:val="20"/>
        </w:rPr>
        <w:t>2023;14:785</w:t>
      </w:r>
      <w:proofErr w:type="gramEnd"/>
      <w:r>
        <w:rPr>
          <w:sz w:val="20"/>
          <w:szCs w:val="20"/>
        </w:rPr>
        <w:t>–803. DOI: 10.5194/se-14-785-2023.</w:t>
      </w:r>
    </w:p>
    <w:p w14:paraId="41BCBE72" w14:textId="77777777" w:rsidR="0087753A" w:rsidRDefault="00000000">
      <w:pPr>
        <w:spacing w:before="60" w:after="60"/>
        <w:ind w:left="560" w:hanging="560"/>
      </w:pPr>
      <w:r>
        <w:rPr>
          <w:sz w:val="20"/>
          <w:szCs w:val="20"/>
        </w:rPr>
        <w:t>7.</w:t>
      </w:r>
      <w:r>
        <w:rPr>
          <w:sz w:val="20"/>
          <w:szCs w:val="20"/>
        </w:rPr>
        <w:tab/>
        <w:t xml:space="preserve">Styles P, et al. Seismic monitoring and </w:t>
      </w:r>
      <w:proofErr w:type="spellStart"/>
      <w:r>
        <w:rPr>
          <w:sz w:val="20"/>
          <w:szCs w:val="20"/>
        </w:rPr>
        <w:t>multiphysics</w:t>
      </w:r>
      <w:proofErr w:type="spellEnd"/>
      <w:r>
        <w:rPr>
          <w:sz w:val="20"/>
          <w:szCs w:val="20"/>
        </w:rPr>
        <w:t xml:space="preserve"> modelling of ground-borne vibrations from small wind turbines. Proceedings of the EWEA Annual Event. 2012.</w:t>
      </w:r>
    </w:p>
    <w:p w14:paraId="00E2FFAC" w14:textId="77777777" w:rsidR="0087753A" w:rsidRDefault="00000000">
      <w:pPr>
        <w:spacing w:before="60" w:after="60"/>
        <w:ind w:left="560" w:hanging="560"/>
      </w:pPr>
      <w:r>
        <w:rPr>
          <w:sz w:val="20"/>
          <w:szCs w:val="20"/>
        </w:rPr>
        <w:lastRenderedPageBreak/>
        <w:t>8.</w:t>
      </w:r>
      <w:r>
        <w:rPr>
          <w:sz w:val="20"/>
          <w:szCs w:val="20"/>
        </w:rPr>
        <w:tab/>
        <w:t>World Health Organization Regional Office for Europe. Environmental Noise Guidelines for the European Region. Copenhagen: WHO Regional Office for Europe; 2018.</w:t>
      </w:r>
    </w:p>
    <w:p w14:paraId="1F771E50" w14:textId="77777777" w:rsidR="0087753A" w:rsidRDefault="00000000">
      <w:pPr>
        <w:spacing w:before="60" w:after="60"/>
        <w:ind w:left="560" w:hanging="560"/>
      </w:pPr>
      <w:r>
        <w:rPr>
          <w:sz w:val="20"/>
          <w:szCs w:val="20"/>
        </w:rPr>
        <w:t>9.</w:t>
      </w:r>
      <w:r>
        <w:rPr>
          <w:sz w:val="20"/>
          <w:szCs w:val="20"/>
        </w:rPr>
        <w:tab/>
        <w:t>Pedersen E, Waye KP. Perception and annoyance due to wind turbine noise — a dose-response relationship. Journal of the Acoustical Society of America. 2004;116(6):3460–3470.</w:t>
      </w:r>
    </w:p>
    <w:p w14:paraId="37D298B7" w14:textId="77777777" w:rsidR="0087753A" w:rsidRDefault="00000000">
      <w:pPr>
        <w:spacing w:before="60" w:after="60"/>
        <w:ind w:left="560" w:hanging="560"/>
      </w:pPr>
      <w:r>
        <w:rPr>
          <w:sz w:val="20"/>
          <w:szCs w:val="20"/>
        </w:rPr>
        <w:t>10.</w:t>
      </w:r>
      <w:r>
        <w:rPr>
          <w:sz w:val="20"/>
          <w:szCs w:val="20"/>
        </w:rPr>
        <w:tab/>
        <w:t>van den Berg GP. Effects of the wind profile at night on wind turbine sound. Journal of Sound and Vibration. 2004;277(4–5):955–970.</w:t>
      </w:r>
    </w:p>
    <w:p w14:paraId="2539658F" w14:textId="77777777" w:rsidR="0087753A" w:rsidRDefault="00000000">
      <w:pPr>
        <w:spacing w:before="60" w:after="60"/>
        <w:ind w:left="560" w:hanging="560"/>
      </w:pPr>
      <w:r>
        <w:rPr>
          <w:sz w:val="20"/>
          <w:szCs w:val="20"/>
        </w:rPr>
        <w:t>11.</w:t>
      </w:r>
      <w:r>
        <w:rPr>
          <w:sz w:val="20"/>
          <w:szCs w:val="20"/>
        </w:rPr>
        <w:tab/>
        <w:t xml:space="preserve">Flemmer C, Flemmer R. Wind turbine infrasound: phenomenology and effect on people. Sustainable Cities and Society. </w:t>
      </w:r>
      <w:proofErr w:type="gramStart"/>
      <w:r>
        <w:rPr>
          <w:sz w:val="20"/>
          <w:szCs w:val="20"/>
        </w:rPr>
        <w:t>2023;89:104308</w:t>
      </w:r>
      <w:proofErr w:type="gramEnd"/>
      <w:r>
        <w:rPr>
          <w:sz w:val="20"/>
          <w:szCs w:val="20"/>
        </w:rPr>
        <w:t>. DOI: 10.1016/j.scs.2022.104308.</w:t>
      </w:r>
    </w:p>
    <w:p w14:paraId="25F9DC3E" w14:textId="77777777" w:rsidR="0087753A" w:rsidRDefault="00000000">
      <w:pPr>
        <w:spacing w:before="60" w:after="60"/>
        <w:ind w:left="560" w:hanging="560"/>
      </w:pPr>
      <w:r>
        <w:rPr>
          <w:sz w:val="20"/>
          <w:szCs w:val="20"/>
        </w:rPr>
        <w:t>12.</w:t>
      </w:r>
      <w:r>
        <w:rPr>
          <w:sz w:val="20"/>
          <w:szCs w:val="20"/>
        </w:rPr>
        <w:tab/>
        <w:t>Fitzgerald J, et al. Simulations of seismic and acoustic wave propagation from wind turbines across varying bedrock and topsoil conditions. Seismological Society of America Annual Meeting, 2024.</w:t>
      </w:r>
    </w:p>
    <w:p w14:paraId="7D830053" w14:textId="77777777" w:rsidR="0087753A" w:rsidRDefault="00000000">
      <w:pPr>
        <w:spacing w:before="60" w:after="60"/>
        <w:ind w:left="560" w:hanging="560"/>
      </w:pPr>
      <w:r>
        <w:rPr>
          <w:sz w:val="20"/>
          <w:szCs w:val="20"/>
        </w:rPr>
        <w:t>13.</w:t>
      </w:r>
      <w:r>
        <w:rPr>
          <w:sz w:val="20"/>
          <w:szCs w:val="20"/>
        </w:rPr>
        <w:tab/>
        <w:t>Sheng S. Report on Wind Turbine Subsystem Reliability — A Survey of Various Databases. NREL/PR-5000-59111. 2013.</w:t>
      </w:r>
    </w:p>
    <w:p w14:paraId="25B06D22" w14:textId="77777777" w:rsidR="0087753A" w:rsidRDefault="00000000">
      <w:pPr>
        <w:spacing w:before="60" w:after="60"/>
        <w:ind w:left="560" w:hanging="560"/>
      </w:pPr>
      <w:r>
        <w:rPr>
          <w:sz w:val="20"/>
          <w:szCs w:val="20"/>
        </w:rPr>
        <w:t>14.</w:t>
      </w:r>
      <w:r>
        <w:rPr>
          <w:sz w:val="20"/>
          <w:szCs w:val="20"/>
        </w:rPr>
        <w:tab/>
        <w:t>Musial W, et al. Improving Wind Turbine Gearbox Reliability. NREL/CP-500-41548. 2007.</w:t>
      </w:r>
    </w:p>
    <w:p w14:paraId="7C578A4A" w14:textId="77777777" w:rsidR="0087753A" w:rsidRDefault="00000000">
      <w:pPr>
        <w:spacing w:before="60" w:after="60"/>
        <w:ind w:left="560" w:hanging="560"/>
      </w:pPr>
      <w:r>
        <w:rPr>
          <w:sz w:val="20"/>
          <w:szCs w:val="20"/>
        </w:rPr>
        <w:t>15.</w:t>
      </w:r>
      <w:r>
        <w:rPr>
          <w:sz w:val="20"/>
          <w:szCs w:val="20"/>
        </w:rPr>
        <w:tab/>
        <w:t>Hyers RW, et al. Condition monitoring and prognosis of utility scale wind turbines. Energy Materials. 2006;1(3):187–203.</w:t>
      </w:r>
    </w:p>
    <w:p w14:paraId="45612A06" w14:textId="77777777" w:rsidR="0087753A" w:rsidRDefault="00000000">
      <w:pPr>
        <w:spacing w:before="60" w:after="60"/>
        <w:ind w:left="560" w:hanging="560"/>
      </w:pPr>
      <w:r>
        <w:rPr>
          <w:sz w:val="20"/>
          <w:szCs w:val="20"/>
        </w:rPr>
        <w:t>16.</w:t>
      </w:r>
      <w:r>
        <w:rPr>
          <w:sz w:val="20"/>
          <w:szCs w:val="20"/>
        </w:rPr>
        <w:tab/>
        <w:t>Ziegler L, et al. Long-term fatigue of large offshore wind turbines. Wind Energy. 2016. DOI: 10.1002/we.2021.</w:t>
      </w:r>
    </w:p>
    <w:p w14:paraId="3B960CCF" w14:textId="77777777" w:rsidR="0087753A" w:rsidRDefault="00000000">
      <w:pPr>
        <w:spacing w:before="60" w:after="60"/>
        <w:ind w:left="560" w:hanging="560"/>
      </w:pPr>
      <w:r>
        <w:rPr>
          <w:sz w:val="20"/>
          <w:szCs w:val="20"/>
        </w:rPr>
        <w:t>17.</w:t>
      </w:r>
      <w:r>
        <w:rPr>
          <w:sz w:val="20"/>
          <w:szCs w:val="20"/>
        </w:rPr>
        <w:tab/>
        <w:t>IRENA. Future of Wind: Deployment, Investment, Technology, Grid Integration and Socio-Economic Aspects. International Renewable Energy Agency. 2019.</w:t>
      </w:r>
    </w:p>
    <w:p w14:paraId="067638DF" w14:textId="77777777" w:rsidR="0087753A" w:rsidRDefault="00000000">
      <w:pPr>
        <w:spacing w:before="60" w:after="60"/>
        <w:ind w:left="560" w:hanging="560"/>
      </w:pPr>
      <w:r>
        <w:rPr>
          <w:sz w:val="20"/>
          <w:szCs w:val="20"/>
        </w:rPr>
        <w:t>18.</w:t>
      </w:r>
      <w:r>
        <w:rPr>
          <w:sz w:val="20"/>
          <w:szCs w:val="20"/>
        </w:rPr>
        <w:tab/>
      </w:r>
      <w:proofErr w:type="spellStart"/>
      <w:r>
        <w:rPr>
          <w:sz w:val="20"/>
          <w:szCs w:val="20"/>
        </w:rPr>
        <w:t>Hagstrum</w:t>
      </w:r>
      <w:proofErr w:type="spellEnd"/>
      <w:r>
        <w:rPr>
          <w:sz w:val="20"/>
          <w:szCs w:val="20"/>
        </w:rPr>
        <w:t xml:space="preserve"> JT. Infrasound and the avian navigational map. Journal of Experimental Biology. </w:t>
      </w:r>
      <w:proofErr w:type="gramStart"/>
      <w:r>
        <w:rPr>
          <w:sz w:val="20"/>
          <w:szCs w:val="20"/>
        </w:rPr>
        <w:t>2013;213:3542</w:t>
      </w:r>
      <w:proofErr w:type="gramEnd"/>
      <w:r>
        <w:rPr>
          <w:sz w:val="20"/>
          <w:szCs w:val="20"/>
        </w:rPr>
        <w:t>–3548.</w:t>
      </w:r>
    </w:p>
    <w:p w14:paraId="0070640F" w14:textId="77777777" w:rsidR="0087753A" w:rsidRDefault="00000000">
      <w:pPr>
        <w:spacing w:before="60" w:after="60"/>
        <w:ind w:left="560" w:hanging="560"/>
      </w:pPr>
      <w:r>
        <w:rPr>
          <w:sz w:val="20"/>
          <w:szCs w:val="20"/>
        </w:rPr>
        <w:t>19.</w:t>
      </w:r>
      <w:r>
        <w:rPr>
          <w:sz w:val="20"/>
          <w:szCs w:val="20"/>
        </w:rPr>
        <w:tab/>
      </w:r>
      <w:proofErr w:type="spellStart"/>
      <w:r>
        <w:rPr>
          <w:sz w:val="20"/>
          <w:szCs w:val="20"/>
        </w:rPr>
        <w:t>Kreithen</w:t>
      </w:r>
      <w:proofErr w:type="spellEnd"/>
      <w:r>
        <w:rPr>
          <w:sz w:val="20"/>
          <w:szCs w:val="20"/>
        </w:rPr>
        <w:t xml:space="preserve"> ML, Quine DB. Infrasound detection by the homing pigeon: a </w:t>
      </w:r>
      <w:proofErr w:type="spellStart"/>
      <w:r>
        <w:rPr>
          <w:sz w:val="20"/>
          <w:szCs w:val="20"/>
        </w:rPr>
        <w:t>behavioural</w:t>
      </w:r>
      <w:proofErr w:type="spellEnd"/>
      <w:r>
        <w:rPr>
          <w:sz w:val="20"/>
          <w:szCs w:val="20"/>
        </w:rPr>
        <w:t xml:space="preserve"> audiogram. Journal of Comparative Physiology. </w:t>
      </w:r>
      <w:proofErr w:type="gramStart"/>
      <w:r>
        <w:rPr>
          <w:sz w:val="20"/>
          <w:szCs w:val="20"/>
        </w:rPr>
        <w:t>1979;129:1</w:t>
      </w:r>
      <w:proofErr w:type="gramEnd"/>
      <w:r>
        <w:rPr>
          <w:sz w:val="20"/>
          <w:szCs w:val="20"/>
        </w:rPr>
        <w:t>–4.</w:t>
      </w:r>
    </w:p>
    <w:p w14:paraId="72BB4AE5" w14:textId="77777777" w:rsidR="0087753A" w:rsidRDefault="00000000">
      <w:pPr>
        <w:spacing w:before="60" w:after="60"/>
        <w:ind w:left="560" w:hanging="560"/>
      </w:pPr>
      <w:r>
        <w:rPr>
          <w:sz w:val="20"/>
          <w:szCs w:val="20"/>
        </w:rPr>
        <w:t>20.</w:t>
      </w:r>
      <w:r>
        <w:rPr>
          <w:sz w:val="20"/>
          <w:szCs w:val="20"/>
        </w:rPr>
        <w:tab/>
        <w:t>Katzner TE, et al. Use of multiple data sources to estimate the population-level impact of wind turbines on golden eagles. Journal of Applied Ecology. 2016;53(6):1689–1698.</w:t>
      </w:r>
    </w:p>
    <w:p w14:paraId="16351CEB" w14:textId="77777777" w:rsidR="0087753A" w:rsidRDefault="00000000">
      <w:pPr>
        <w:spacing w:before="60" w:after="60"/>
        <w:ind w:left="560" w:hanging="560"/>
      </w:pPr>
      <w:r>
        <w:rPr>
          <w:sz w:val="20"/>
          <w:szCs w:val="20"/>
        </w:rPr>
        <w:t>21.</w:t>
      </w:r>
      <w:r>
        <w:rPr>
          <w:sz w:val="20"/>
          <w:szCs w:val="20"/>
        </w:rPr>
        <w:tab/>
        <w:t xml:space="preserve">Loss SR, et al. Estimates of bird collision mortality at wind facilities in the contiguous United States. Biological Conservation. </w:t>
      </w:r>
      <w:proofErr w:type="gramStart"/>
      <w:r>
        <w:rPr>
          <w:sz w:val="20"/>
          <w:szCs w:val="20"/>
        </w:rPr>
        <w:t>2013;168:201</w:t>
      </w:r>
      <w:proofErr w:type="gramEnd"/>
      <w:r>
        <w:rPr>
          <w:sz w:val="20"/>
          <w:szCs w:val="20"/>
        </w:rPr>
        <w:t>–209.</w:t>
      </w:r>
    </w:p>
    <w:p w14:paraId="0EA32DC7" w14:textId="77777777" w:rsidR="0087753A" w:rsidRDefault="00000000">
      <w:pPr>
        <w:spacing w:before="60" w:after="60"/>
        <w:ind w:left="560" w:hanging="560"/>
      </w:pPr>
      <w:r>
        <w:rPr>
          <w:sz w:val="20"/>
          <w:szCs w:val="20"/>
        </w:rPr>
        <w:t>22.</w:t>
      </w:r>
      <w:r>
        <w:rPr>
          <w:sz w:val="20"/>
          <w:szCs w:val="20"/>
        </w:rPr>
        <w:tab/>
        <w:t>Smallwood KS. Comparing bird and bat fatality-rate estimates among North American wind-energy projects. Wildlife Society Bulletin. 2013;37(1):19–33.</w:t>
      </w:r>
    </w:p>
    <w:p w14:paraId="251FECEF" w14:textId="77777777" w:rsidR="0087753A" w:rsidRDefault="0087753A">
      <w:pPr>
        <w:pBdr>
          <w:bottom w:val="single" w:sz="6" w:space="1" w:color="1579B5"/>
        </w:pBdr>
        <w:spacing w:before="240" w:after="240"/>
      </w:pPr>
    </w:p>
    <w:p w14:paraId="54D144CB" w14:textId="77777777" w:rsidR="0087753A" w:rsidRDefault="00000000">
      <w:pPr>
        <w:pStyle w:val="Heading2"/>
      </w:pPr>
      <w:r>
        <w:t>Note on Measurement Implementation</w:t>
      </w:r>
    </w:p>
    <w:p w14:paraId="7B4913E2" w14:textId="77777777" w:rsidR="0087753A" w:rsidRDefault="00000000">
      <w:pPr>
        <w:spacing w:before="80" w:after="120"/>
        <w:jc w:val="both"/>
      </w:pPr>
      <w:r>
        <w:t>WardScope® (wardscope.com) is a full-spectrum acoustic analysis tool implementing the measurement approach described in this paper, including GPS-located, timestamped, audio-linked evidence capture designed to Six Sigma evidentiary standards. It is noted here for completeness; the scientific arguments in this paper are independent of any specific instrument.</w:t>
      </w:r>
    </w:p>
    <w:p w14:paraId="3D8CB3C5" w14:textId="77777777" w:rsidR="0087753A" w:rsidRDefault="0087753A">
      <w:pPr>
        <w:pageBreakBefore/>
      </w:pPr>
    </w:p>
    <w:p w14:paraId="59D97158" w14:textId="77777777" w:rsidR="0087753A" w:rsidRDefault="00000000">
      <w:pPr>
        <w:pStyle w:val="Heading1"/>
      </w:pPr>
      <w:r>
        <w:t>List of Figures</w:t>
      </w:r>
    </w:p>
    <w:p w14:paraId="05DE2293" w14:textId="77777777" w:rsidR="0087753A" w:rsidRDefault="00000000">
      <w:pPr>
        <w:tabs>
          <w:tab w:val="left" w:pos="600"/>
        </w:tabs>
        <w:spacing w:before="60" w:after="60"/>
      </w:pPr>
      <w:r>
        <w:rPr>
          <w:b/>
          <w:bCs/>
          <w:color w:val="1579B5"/>
          <w:sz w:val="20"/>
          <w:szCs w:val="20"/>
        </w:rPr>
        <w:t>Figure 1</w:t>
      </w:r>
      <w:r>
        <w:rPr>
          <w:sz w:val="20"/>
          <w:szCs w:val="20"/>
        </w:rPr>
        <w:tab/>
        <w:t xml:space="preserve">The complete ground-borne vibration pathway — P-waves, S-waves, and Rayleigh </w:t>
      </w:r>
      <w:proofErr w:type="gramStart"/>
      <w:r>
        <w:rPr>
          <w:sz w:val="20"/>
          <w:szCs w:val="20"/>
        </w:rPr>
        <w:t>waves</w:t>
      </w:r>
      <w:r>
        <w:rPr>
          <w:i/>
          <w:iCs/>
          <w:color w:val="888888"/>
          <w:sz w:val="18"/>
          <w:szCs w:val="18"/>
        </w:rPr>
        <w:t xml:space="preserve">  [</w:t>
      </w:r>
      <w:proofErr w:type="gramEnd"/>
      <w:r>
        <w:rPr>
          <w:i/>
          <w:iCs/>
          <w:color w:val="888888"/>
          <w:sz w:val="18"/>
          <w:szCs w:val="18"/>
        </w:rPr>
        <w:t>Section 1.3]</w:t>
      </w:r>
    </w:p>
    <w:p w14:paraId="35E12091" w14:textId="77777777" w:rsidR="0087753A" w:rsidRDefault="00000000">
      <w:pPr>
        <w:tabs>
          <w:tab w:val="left" w:pos="600"/>
        </w:tabs>
        <w:spacing w:before="60" w:after="60"/>
      </w:pPr>
      <w:r>
        <w:rPr>
          <w:b/>
          <w:bCs/>
          <w:color w:val="1579B5"/>
          <w:sz w:val="20"/>
          <w:szCs w:val="20"/>
        </w:rPr>
        <w:t>Figure 2</w:t>
      </w:r>
      <w:r>
        <w:rPr>
          <w:sz w:val="20"/>
          <w:szCs w:val="20"/>
        </w:rPr>
        <w:tab/>
        <w:t xml:space="preserve">Sympathetic resonance — tuning fork principle applied to building </w:t>
      </w:r>
      <w:proofErr w:type="gramStart"/>
      <w:r>
        <w:rPr>
          <w:sz w:val="20"/>
          <w:szCs w:val="20"/>
        </w:rPr>
        <w:t>structures</w:t>
      </w:r>
      <w:r>
        <w:rPr>
          <w:i/>
          <w:iCs/>
          <w:color w:val="888888"/>
          <w:sz w:val="18"/>
          <w:szCs w:val="18"/>
        </w:rPr>
        <w:t xml:space="preserve">  [</w:t>
      </w:r>
      <w:proofErr w:type="gramEnd"/>
      <w:r>
        <w:rPr>
          <w:i/>
          <w:iCs/>
          <w:color w:val="888888"/>
          <w:sz w:val="18"/>
          <w:szCs w:val="18"/>
        </w:rPr>
        <w:t>Section 3.2]</w:t>
      </w:r>
    </w:p>
    <w:p w14:paraId="18AB393D" w14:textId="77777777" w:rsidR="0087753A" w:rsidRDefault="00000000">
      <w:pPr>
        <w:tabs>
          <w:tab w:val="left" w:pos="600"/>
        </w:tabs>
        <w:spacing w:before="60" w:after="60"/>
      </w:pPr>
      <w:r>
        <w:rPr>
          <w:b/>
          <w:bCs/>
          <w:color w:val="1579B5"/>
          <w:sz w:val="20"/>
          <w:szCs w:val="20"/>
        </w:rPr>
        <w:t>Figure 3</w:t>
      </w:r>
      <w:r>
        <w:rPr>
          <w:sz w:val="20"/>
          <w:szCs w:val="20"/>
        </w:rPr>
        <w:tab/>
        <w:t xml:space="preserve">Ground-borne vibration and geological </w:t>
      </w:r>
      <w:proofErr w:type="gramStart"/>
      <w:r>
        <w:rPr>
          <w:sz w:val="20"/>
          <w:szCs w:val="20"/>
        </w:rPr>
        <w:t>waveguides</w:t>
      </w:r>
      <w:r>
        <w:rPr>
          <w:i/>
          <w:iCs/>
          <w:color w:val="888888"/>
          <w:sz w:val="18"/>
          <w:szCs w:val="18"/>
        </w:rPr>
        <w:t xml:space="preserve">  [</w:t>
      </w:r>
      <w:proofErr w:type="gramEnd"/>
      <w:r>
        <w:rPr>
          <w:i/>
          <w:iCs/>
          <w:color w:val="888888"/>
          <w:sz w:val="18"/>
          <w:szCs w:val="18"/>
        </w:rPr>
        <w:t>Section 2]</w:t>
      </w:r>
    </w:p>
    <w:p w14:paraId="7BBF9579" w14:textId="77777777" w:rsidR="0087753A" w:rsidRDefault="00000000">
      <w:pPr>
        <w:tabs>
          <w:tab w:val="left" w:pos="600"/>
        </w:tabs>
        <w:spacing w:before="60" w:after="60"/>
      </w:pPr>
      <w:r>
        <w:rPr>
          <w:b/>
          <w:bCs/>
          <w:color w:val="1579B5"/>
          <w:sz w:val="20"/>
          <w:szCs w:val="20"/>
        </w:rPr>
        <w:t>Figure 4</w:t>
      </w:r>
      <w:r>
        <w:rPr>
          <w:sz w:val="20"/>
          <w:szCs w:val="20"/>
        </w:rPr>
        <w:tab/>
        <w:t xml:space="preserve">Sympathetic resonance — one house affected, adjacent house </w:t>
      </w:r>
      <w:proofErr w:type="gramStart"/>
      <w:r>
        <w:rPr>
          <w:sz w:val="20"/>
          <w:szCs w:val="20"/>
        </w:rPr>
        <w:t>unaffected</w:t>
      </w:r>
      <w:r>
        <w:rPr>
          <w:i/>
          <w:iCs/>
          <w:color w:val="888888"/>
          <w:sz w:val="18"/>
          <w:szCs w:val="18"/>
        </w:rPr>
        <w:t xml:space="preserve">  [</w:t>
      </w:r>
      <w:proofErr w:type="gramEnd"/>
      <w:r>
        <w:rPr>
          <w:i/>
          <w:iCs/>
          <w:color w:val="888888"/>
          <w:sz w:val="18"/>
          <w:szCs w:val="18"/>
        </w:rPr>
        <w:t>Section 3.5]</w:t>
      </w:r>
    </w:p>
    <w:p w14:paraId="7FD64B9F" w14:textId="77777777" w:rsidR="0087753A" w:rsidRDefault="00000000">
      <w:pPr>
        <w:tabs>
          <w:tab w:val="left" w:pos="600"/>
        </w:tabs>
        <w:spacing w:before="60" w:after="60"/>
      </w:pPr>
      <w:r>
        <w:rPr>
          <w:b/>
          <w:bCs/>
          <w:color w:val="1579B5"/>
          <w:sz w:val="20"/>
          <w:szCs w:val="20"/>
        </w:rPr>
        <w:t>Figure 5</w:t>
      </w:r>
      <w:r>
        <w:rPr>
          <w:sz w:val="20"/>
          <w:szCs w:val="20"/>
        </w:rPr>
        <w:tab/>
        <w:t xml:space="preserve">Sympathetic resonance demonstrated in entry-level physics </w:t>
      </w:r>
      <w:proofErr w:type="gramStart"/>
      <w:r>
        <w:rPr>
          <w:sz w:val="20"/>
          <w:szCs w:val="20"/>
        </w:rPr>
        <w:t>laboratory</w:t>
      </w:r>
      <w:r>
        <w:rPr>
          <w:i/>
          <w:iCs/>
          <w:color w:val="888888"/>
          <w:sz w:val="18"/>
          <w:szCs w:val="18"/>
        </w:rPr>
        <w:t xml:space="preserve">  [</w:t>
      </w:r>
      <w:proofErr w:type="gramEnd"/>
      <w:r>
        <w:rPr>
          <w:i/>
          <w:iCs/>
          <w:color w:val="888888"/>
          <w:sz w:val="18"/>
          <w:szCs w:val="18"/>
        </w:rPr>
        <w:t>Section 6.1]</w:t>
      </w:r>
    </w:p>
    <w:p w14:paraId="5B201EF4" w14:textId="77777777" w:rsidR="0087753A" w:rsidRDefault="00000000">
      <w:pPr>
        <w:tabs>
          <w:tab w:val="left" w:pos="600"/>
        </w:tabs>
        <w:spacing w:before="60" w:after="60"/>
      </w:pPr>
      <w:r>
        <w:rPr>
          <w:b/>
          <w:bCs/>
          <w:color w:val="1579B5"/>
          <w:sz w:val="20"/>
          <w:szCs w:val="20"/>
        </w:rPr>
        <w:t>Figure 6a</w:t>
      </w:r>
      <w:r>
        <w:rPr>
          <w:sz w:val="20"/>
          <w:szCs w:val="20"/>
        </w:rPr>
        <w:tab/>
        <w:t xml:space="preserve">Train crossing a bridge — riverbed waveguide </w:t>
      </w:r>
      <w:proofErr w:type="gramStart"/>
      <w:r>
        <w:rPr>
          <w:sz w:val="20"/>
          <w:szCs w:val="20"/>
        </w:rPr>
        <w:t>mechanism</w:t>
      </w:r>
      <w:r>
        <w:rPr>
          <w:i/>
          <w:iCs/>
          <w:color w:val="888888"/>
          <w:sz w:val="18"/>
          <w:szCs w:val="18"/>
        </w:rPr>
        <w:t xml:space="preserve">  [</w:t>
      </w:r>
      <w:proofErr w:type="gramEnd"/>
      <w:r>
        <w:rPr>
          <w:i/>
          <w:iCs/>
          <w:color w:val="888888"/>
          <w:sz w:val="18"/>
          <w:szCs w:val="18"/>
        </w:rPr>
        <w:t>Section 2]</w:t>
      </w:r>
    </w:p>
    <w:p w14:paraId="7A504AC8" w14:textId="77777777" w:rsidR="0087753A" w:rsidRDefault="00000000">
      <w:pPr>
        <w:tabs>
          <w:tab w:val="left" w:pos="600"/>
        </w:tabs>
        <w:spacing w:before="60" w:after="60"/>
      </w:pPr>
      <w:r>
        <w:rPr>
          <w:b/>
          <w:bCs/>
          <w:color w:val="1579B5"/>
          <w:sz w:val="20"/>
          <w:szCs w:val="20"/>
        </w:rPr>
        <w:t>Figure 6b</w:t>
      </w:r>
      <w:r>
        <w:rPr>
          <w:sz w:val="20"/>
          <w:szCs w:val="20"/>
        </w:rPr>
        <w:tab/>
        <w:t>Satellite image: Balclutha, New Zealand — Clutha River / Mata-</w:t>
      </w:r>
      <w:proofErr w:type="gramStart"/>
      <w:r>
        <w:rPr>
          <w:sz w:val="20"/>
          <w:szCs w:val="20"/>
        </w:rPr>
        <w:t>Au</w:t>
      </w:r>
      <w:r>
        <w:rPr>
          <w:i/>
          <w:iCs/>
          <w:color w:val="888888"/>
          <w:sz w:val="18"/>
          <w:szCs w:val="18"/>
        </w:rPr>
        <w:t xml:space="preserve">  [</w:t>
      </w:r>
      <w:proofErr w:type="gramEnd"/>
      <w:r>
        <w:rPr>
          <w:i/>
          <w:iCs/>
          <w:color w:val="888888"/>
          <w:sz w:val="18"/>
          <w:szCs w:val="18"/>
        </w:rPr>
        <w:t>Section 2]</w:t>
      </w:r>
    </w:p>
    <w:p w14:paraId="7551DA2E" w14:textId="77777777" w:rsidR="0087753A" w:rsidRDefault="00000000">
      <w:pPr>
        <w:tabs>
          <w:tab w:val="left" w:pos="600"/>
        </w:tabs>
        <w:spacing w:before="60" w:after="60"/>
      </w:pPr>
      <w:r>
        <w:rPr>
          <w:b/>
          <w:bCs/>
          <w:color w:val="1579B5"/>
          <w:sz w:val="20"/>
          <w:szCs w:val="20"/>
        </w:rPr>
        <w:t>Figure 7</w:t>
      </w:r>
      <w:r>
        <w:rPr>
          <w:sz w:val="20"/>
          <w:szCs w:val="20"/>
        </w:rPr>
        <w:tab/>
        <w:t xml:space="preserve">Wind turbine foundation and riverbed waveguide transmission </w:t>
      </w:r>
      <w:proofErr w:type="gramStart"/>
      <w:r>
        <w:rPr>
          <w:sz w:val="20"/>
          <w:szCs w:val="20"/>
        </w:rPr>
        <w:t>path</w:t>
      </w:r>
      <w:r>
        <w:rPr>
          <w:i/>
          <w:iCs/>
          <w:color w:val="888888"/>
          <w:sz w:val="18"/>
          <w:szCs w:val="18"/>
        </w:rPr>
        <w:t xml:space="preserve">  [</w:t>
      </w:r>
      <w:proofErr w:type="gramEnd"/>
      <w:r>
        <w:rPr>
          <w:i/>
          <w:iCs/>
          <w:color w:val="888888"/>
          <w:sz w:val="18"/>
          <w:szCs w:val="18"/>
        </w:rPr>
        <w:t>Section 2]</w:t>
      </w:r>
    </w:p>
    <w:p w14:paraId="602C1CE8" w14:textId="77777777" w:rsidR="0087753A" w:rsidRDefault="00000000">
      <w:pPr>
        <w:tabs>
          <w:tab w:val="left" w:pos="600"/>
        </w:tabs>
        <w:spacing w:before="60" w:after="60"/>
      </w:pPr>
      <w:r>
        <w:rPr>
          <w:b/>
          <w:bCs/>
          <w:color w:val="1579B5"/>
          <w:sz w:val="20"/>
          <w:szCs w:val="20"/>
        </w:rPr>
        <w:t>Figure 8</w:t>
      </w:r>
      <w:r>
        <w:rPr>
          <w:sz w:val="20"/>
          <w:szCs w:val="20"/>
        </w:rPr>
        <w:tab/>
        <w:t xml:space="preserve">Two adjacent houses, same turbine distance — different structural </w:t>
      </w:r>
      <w:proofErr w:type="gramStart"/>
      <w:r>
        <w:rPr>
          <w:sz w:val="20"/>
          <w:szCs w:val="20"/>
        </w:rPr>
        <w:t>response</w:t>
      </w:r>
      <w:r>
        <w:rPr>
          <w:i/>
          <w:iCs/>
          <w:color w:val="888888"/>
          <w:sz w:val="18"/>
          <w:szCs w:val="18"/>
        </w:rPr>
        <w:t xml:space="preserve">  [</w:t>
      </w:r>
      <w:proofErr w:type="gramEnd"/>
      <w:r>
        <w:rPr>
          <w:i/>
          <w:iCs/>
          <w:color w:val="888888"/>
          <w:sz w:val="18"/>
          <w:szCs w:val="18"/>
        </w:rPr>
        <w:t>Section 3.5]</w:t>
      </w:r>
    </w:p>
    <w:p w14:paraId="175DD669" w14:textId="77777777" w:rsidR="0087753A" w:rsidRDefault="00000000">
      <w:pPr>
        <w:tabs>
          <w:tab w:val="left" w:pos="600"/>
        </w:tabs>
        <w:spacing w:before="60" w:after="60"/>
      </w:pPr>
      <w:r>
        <w:rPr>
          <w:b/>
          <w:bCs/>
          <w:color w:val="1579B5"/>
          <w:sz w:val="20"/>
          <w:szCs w:val="20"/>
        </w:rPr>
        <w:t>Figure 9</w:t>
      </w:r>
      <w:r>
        <w:rPr>
          <w:sz w:val="20"/>
          <w:szCs w:val="20"/>
        </w:rPr>
        <w:tab/>
        <w:t xml:space="preserve">Tuning fork ground-borne excitation — matching frequency produces audible </w:t>
      </w:r>
      <w:proofErr w:type="gramStart"/>
      <w:r>
        <w:rPr>
          <w:sz w:val="20"/>
          <w:szCs w:val="20"/>
        </w:rPr>
        <w:t>sound</w:t>
      </w:r>
      <w:r>
        <w:rPr>
          <w:i/>
          <w:iCs/>
          <w:color w:val="888888"/>
          <w:sz w:val="18"/>
          <w:szCs w:val="18"/>
        </w:rPr>
        <w:t xml:space="preserve">  [</w:t>
      </w:r>
      <w:proofErr w:type="gramEnd"/>
      <w:r>
        <w:rPr>
          <w:i/>
          <w:iCs/>
          <w:color w:val="888888"/>
          <w:sz w:val="18"/>
          <w:szCs w:val="18"/>
        </w:rPr>
        <w:t>Section 3.2]</w:t>
      </w:r>
    </w:p>
    <w:p w14:paraId="05F743BA" w14:textId="77777777" w:rsidR="0087753A" w:rsidRDefault="00000000">
      <w:pPr>
        <w:tabs>
          <w:tab w:val="left" w:pos="600"/>
        </w:tabs>
        <w:spacing w:before="60" w:after="60"/>
      </w:pPr>
      <w:r>
        <w:rPr>
          <w:b/>
          <w:bCs/>
          <w:color w:val="1579B5"/>
          <w:sz w:val="20"/>
          <w:szCs w:val="20"/>
        </w:rPr>
        <w:t>Figure 10</w:t>
      </w:r>
      <w:r>
        <w:rPr>
          <w:sz w:val="20"/>
          <w:szCs w:val="20"/>
        </w:rPr>
        <w:tab/>
        <w:t xml:space="preserve">Avian infrasound navigation disruption — wind turbine infrasound interference </w:t>
      </w:r>
      <w:proofErr w:type="gramStart"/>
      <w:r>
        <w:rPr>
          <w:sz w:val="20"/>
          <w:szCs w:val="20"/>
        </w:rPr>
        <w:t>pathway</w:t>
      </w:r>
      <w:r>
        <w:rPr>
          <w:i/>
          <w:iCs/>
          <w:color w:val="888888"/>
          <w:sz w:val="18"/>
          <w:szCs w:val="18"/>
        </w:rPr>
        <w:t xml:space="preserve">  [</w:t>
      </w:r>
      <w:proofErr w:type="gramEnd"/>
      <w:r>
        <w:rPr>
          <w:i/>
          <w:iCs/>
          <w:color w:val="888888"/>
          <w:sz w:val="18"/>
          <w:szCs w:val="18"/>
        </w:rPr>
        <w:t>Section 7.3]</w:t>
      </w:r>
    </w:p>
    <w:p w14:paraId="79EDF847" w14:textId="77777777" w:rsidR="0087753A" w:rsidRDefault="0087753A">
      <w:pPr>
        <w:pBdr>
          <w:bottom w:val="single" w:sz="6" w:space="1" w:color="1579B5"/>
        </w:pBdr>
        <w:spacing w:before="240" w:after="240"/>
      </w:pPr>
    </w:p>
    <w:p w14:paraId="395AC776" w14:textId="77777777" w:rsidR="0087753A" w:rsidRDefault="00000000">
      <w:pPr>
        <w:pStyle w:val="Heading1"/>
      </w:pPr>
      <w:r>
        <w:t>Executive Summary</w:t>
      </w:r>
    </w:p>
    <w:p w14:paraId="6AA2C385" w14:textId="77777777" w:rsidR="0087753A" w:rsidRDefault="00000000">
      <w:pPr>
        <w:spacing w:before="80" w:after="120"/>
        <w:jc w:val="both"/>
      </w:pPr>
      <w:r>
        <w:t>Wind turbine noise compliance frameworks in use globally share a common and fundamental scientific deficiency: they measure only one of two distinct energy transmission pathways, and it is the wrong one.</w:t>
      </w:r>
    </w:p>
    <w:p w14:paraId="0133B45D" w14:textId="77777777" w:rsidR="0087753A" w:rsidRDefault="00000000">
      <w:pPr>
        <w:spacing w:before="80" w:after="120"/>
        <w:jc w:val="both"/>
      </w:pPr>
      <w:r>
        <w:t>Current standards rely on A-weighted airborne sound pressure measurement at property boundaries (e.g., ETSU-R-97 and equivalents). This methodology was developed for steady-state industrial noise in workplace environments. It was never designed for, and is demonstrably incapable of, assessing the primary harm mechanism: sympathetic structural resonance.</w:t>
      </w:r>
    </w:p>
    <w:p w14:paraId="379B0E9B" w14:textId="77777777" w:rsidR="0087753A" w:rsidRDefault="00000000">
      <w:pPr>
        <w:spacing w:before="80" w:after="120"/>
        <w:jc w:val="both"/>
      </w:pPr>
      <w:r>
        <w:t>Ground-borne vibration transmission — seismic energy propagating from turbine foundations through local geology into residential building structures — excites each building at its own natural resonant frequencies. The building then re-radiates this energy as broadband audible sound and tactile vibration. Occupants do not experience the turbine’s ground signal directly. They experience the building’s amplified structural response to it. The building itself becomes the active source of the perceptible harm.</w:t>
      </w:r>
    </w:p>
    <w:p w14:paraId="528C1A57" w14:textId="77777777" w:rsidR="0087753A" w:rsidRDefault="00000000">
      <w:pPr>
        <w:spacing w:before="80" w:after="120"/>
        <w:jc w:val="both"/>
      </w:pPr>
      <w:r>
        <w:t xml:space="preserve">This pathway is </w:t>
      </w:r>
      <w:proofErr w:type="gramStart"/>
      <w:r>
        <w:t>geology-dependent</w:t>
      </w:r>
      <w:proofErr w:type="gramEnd"/>
      <w:r>
        <w:t>. It explains the empirically documented but regulatorily unexplained phenomenon of severe impact in one dwelling and no impact in an adjacent dwelling at similar air-distances from the installation. Air does not behave this way. Ground does.</w:t>
      </w:r>
    </w:p>
    <w:p w14:paraId="63DB4C3A" w14:textId="77777777" w:rsidR="0087753A" w:rsidRDefault="00000000">
      <w:pPr>
        <w:spacing w:before="80" w:after="120"/>
        <w:jc w:val="both"/>
      </w:pPr>
      <w:r>
        <w:t>The acoustic impedance mismatch between air (1.2 kg/m³) and geological substrates (1,500–2,700 kg/m³) results in orders-of-magnitude differences in transmitted power between the two pathways. Reform requires full-spectrum ground vibration measurement at source, propagation path, and receptor; and coherence analysis demonstrating the causal relationship between turbine operation and measured vibration at affected buildings.</w:t>
      </w:r>
    </w:p>
    <w:p w14:paraId="6F0837FE" w14:textId="77777777" w:rsidR="0087753A" w:rsidRDefault="00000000">
      <w:pPr>
        <w:pBdr>
          <w:left w:val="single" w:sz="12" w:space="12" w:color="1579B5"/>
        </w:pBdr>
        <w:spacing w:before="200" w:after="200"/>
        <w:ind w:left="440"/>
        <w:jc w:val="both"/>
      </w:pPr>
      <w:r>
        <w:rPr>
          <w:b/>
          <w:bCs/>
          <w:i/>
          <w:iCs/>
          <w:color w:val="1A3843"/>
        </w:rPr>
        <w:t xml:space="preserve">The physics described in this paper is taught in every entry-level physics course, demonstrated in every undergraduate laboratory, and applied routinely across </w:t>
      </w:r>
      <w:r>
        <w:rPr>
          <w:b/>
          <w:bCs/>
          <w:i/>
          <w:iCs/>
          <w:color w:val="1A3843"/>
        </w:rPr>
        <w:lastRenderedPageBreak/>
        <w:t>geotechnical engineering, structural dynamics, and seismology. It is not contested. It is not novel. Wind turbine regulations were drafted with one purpose: to ensure that turbines could be approved and built.</w:t>
      </w:r>
    </w:p>
    <w:sectPr w:rsidR="0087753A">
      <w:headerReference w:type="default" r:id="rId17"/>
      <w:footerReference w:type="default" r:id="rId1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C20CF" w14:textId="77777777" w:rsidR="009A740C" w:rsidRDefault="009A740C">
      <w:r>
        <w:separator/>
      </w:r>
    </w:p>
  </w:endnote>
  <w:endnote w:type="continuationSeparator" w:id="0">
    <w:p w14:paraId="4DC30CC9" w14:textId="77777777" w:rsidR="009A740C" w:rsidRDefault="009A7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93F0" w14:textId="77777777" w:rsidR="0087753A" w:rsidRDefault="00000000">
    <w:pPr>
      <w:pBdr>
        <w:top w:val="single" w:sz="6" w:space="6" w:color="1579B5"/>
      </w:pBdr>
      <w:tabs>
        <w:tab w:val="right" w:pos="9026"/>
      </w:tabs>
      <w:spacing w:before="100"/>
    </w:pPr>
    <w:r>
      <w:rPr>
        <w:color w:val="666666"/>
        <w:sz w:val="18"/>
        <w:szCs w:val="18"/>
      </w:rPr>
      <w:t xml:space="preserve">© 2026 Dave </w:t>
    </w:r>
    <w:proofErr w:type="gramStart"/>
    <w:r>
      <w:rPr>
        <w:color w:val="666666"/>
        <w:sz w:val="18"/>
        <w:szCs w:val="18"/>
      </w:rPr>
      <w:t>Ward  |</w:t>
    </w:r>
    <w:proofErr w:type="gramEnd"/>
    <w:r>
      <w:rPr>
        <w:color w:val="666666"/>
        <w:sz w:val="18"/>
        <w:szCs w:val="18"/>
      </w:rPr>
      <w:t xml:space="preserve">  resonancesensor@gmail.com</w:t>
    </w:r>
    <w:r>
      <w:rPr>
        <w:color w:val="666666"/>
        <w:sz w:val="18"/>
        <w:szCs w:val="18"/>
      </w:rPr>
      <w:tab/>
      <w:t xml:space="preserve"> wardscope.com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96640" w14:textId="77777777" w:rsidR="009A740C" w:rsidRDefault="009A740C">
      <w:r>
        <w:separator/>
      </w:r>
    </w:p>
  </w:footnote>
  <w:footnote w:type="continuationSeparator" w:id="0">
    <w:p w14:paraId="0307D5F6" w14:textId="77777777" w:rsidR="009A740C" w:rsidRDefault="009A7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C1452" w14:textId="77777777" w:rsidR="0087753A" w:rsidRDefault="00000000">
    <w:pPr>
      <w:pBdr>
        <w:bottom w:val="single" w:sz="6" w:space="6" w:color="1579B5"/>
      </w:pBdr>
      <w:tabs>
        <w:tab w:val="right" w:pos="9026"/>
      </w:tabs>
      <w:spacing w:after="100"/>
    </w:pPr>
    <w:r>
      <w:rPr>
        <w:color w:val="666666"/>
        <w:sz w:val="18"/>
        <w:szCs w:val="18"/>
      </w:rPr>
      <w:t xml:space="preserve">TECHNICAL WHITE </w:t>
    </w:r>
    <w:proofErr w:type="gramStart"/>
    <w:r>
      <w:rPr>
        <w:color w:val="666666"/>
        <w:sz w:val="18"/>
        <w:szCs w:val="18"/>
      </w:rPr>
      <w:t>PAPER  |</w:t>
    </w:r>
    <w:proofErr w:type="gramEnd"/>
    <w:r>
      <w:rPr>
        <w:color w:val="666666"/>
        <w:sz w:val="18"/>
        <w:szCs w:val="18"/>
      </w:rPr>
      <w:t xml:space="preserve">  Ward Effect® Technology</w:t>
    </w:r>
    <w:r>
      <w:rPr>
        <w:sz w:val="18"/>
        <w:szCs w:val="18"/>
      </w:rPr>
      <w:tab/>
    </w:r>
    <w:proofErr w:type="gramStart"/>
    <w:r>
      <w:rPr>
        <w:color w:val="666666"/>
        <w:sz w:val="18"/>
        <w:szCs w:val="18"/>
      </w:rPr>
      <w:t>wardscope.com  |</w:t>
    </w:r>
    <w:proofErr w:type="gramEnd"/>
    <w:r>
      <w:rPr>
        <w:color w:val="666666"/>
        <w:sz w:val="18"/>
        <w:szCs w:val="18"/>
      </w:rPr>
      <w:t xml:space="preserve">  wardeffect.com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44B9"/>
    <w:multiLevelType w:val="multilevel"/>
    <w:tmpl w:val="494EA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326A79"/>
    <w:multiLevelType w:val="hybridMultilevel"/>
    <w:tmpl w:val="08E0B3A6"/>
    <w:lvl w:ilvl="0" w:tplc="649C472E">
      <w:start w:val="1"/>
      <w:numFmt w:val="bullet"/>
      <w:lvlText w:val="●"/>
      <w:lvlJc w:val="left"/>
      <w:pPr>
        <w:ind w:left="720" w:hanging="360"/>
      </w:pPr>
    </w:lvl>
    <w:lvl w:ilvl="1" w:tplc="242ACFDC">
      <w:start w:val="1"/>
      <w:numFmt w:val="bullet"/>
      <w:lvlText w:val="○"/>
      <w:lvlJc w:val="left"/>
      <w:pPr>
        <w:ind w:left="1440" w:hanging="360"/>
      </w:pPr>
    </w:lvl>
    <w:lvl w:ilvl="2" w:tplc="A46423FA">
      <w:start w:val="1"/>
      <w:numFmt w:val="bullet"/>
      <w:lvlText w:val="■"/>
      <w:lvlJc w:val="left"/>
      <w:pPr>
        <w:ind w:left="2160" w:hanging="360"/>
      </w:pPr>
    </w:lvl>
    <w:lvl w:ilvl="3" w:tplc="9D84707C">
      <w:start w:val="1"/>
      <w:numFmt w:val="bullet"/>
      <w:lvlText w:val="●"/>
      <w:lvlJc w:val="left"/>
      <w:pPr>
        <w:ind w:left="2880" w:hanging="360"/>
      </w:pPr>
    </w:lvl>
    <w:lvl w:ilvl="4" w:tplc="9DF2EE46">
      <w:start w:val="1"/>
      <w:numFmt w:val="bullet"/>
      <w:lvlText w:val="○"/>
      <w:lvlJc w:val="left"/>
      <w:pPr>
        <w:ind w:left="3600" w:hanging="360"/>
      </w:pPr>
    </w:lvl>
    <w:lvl w:ilvl="5" w:tplc="A5901BEC">
      <w:start w:val="1"/>
      <w:numFmt w:val="bullet"/>
      <w:lvlText w:val="■"/>
      <w:lvlJc w:val="left"/>
      <w:pPr>
        <w:ind w:left="4320" w:hanging="360"/>
      </w:pPr>
    </w:lvl>
    <w:lvl w:ilvl="6" w:tplc="791E0190">
      <w:start w:val="1"/>
      <w:numFmt w:val="bullet"/>
      <w:lvlText w:val="●"/>
      <w:lvlJc w:val="left"/>
      <w:pPr>
        <w:ind w:left="5040" w:hanging="360"/>
      </w:pPr>
    </w:lvl>
    <w:lvl w:ilvl="7" w:tplc="728CE526">
      <w:start w:val="1"/>
      <w:numFmt w:val="bullet"/>
      <w:lvlText w:val="●"/>
      <w:lvlJc w:val="left"/>
      <w:pPr>
        <w:ind w:left="5760" w:hanging="360"/>
      </w:pPr>
    </w:lvl>
    <w:lvl w:ilvl="8" w:tplc="992A8732">
      <w:start w:val="1"/>
      <w:numFmt w:val="bullet"/>
      <w:lvlText w:val="●"/>
      <w:lvlJc w:val="left"/>
      <w:pPr>
        <w:ind w:left="6480" w:hanging="360"/>
      </w:pPr>
    </w:lvl>
  </w:abstractNum>
  <w:abstractNum w:abstractNumId="2" w15:restartNumberingAfterBreak="0">
    <w:nsid w:val="61217245"/>
    <w:multiLevelType w:val="hybridMultilevel"/>
    <w:tmpl w:val="048E17AE"/>
    <w:lvl w:ilvl="0" w:tplc="B846D076">
      <w:start w:val="1"/>
      <w:numFmt w:val="bullet"/>
      <w:lvlText w:val="•"/>
      <w:lvlJc w:val="left"/>
      <w:pPr>
        <w:ind w:left="720" w:hanging="360"/>
      </w:pPr>
    </w:lvl>
    <w:lvl w:ilvl="1" w:tplc="CA0A8B6A">
      <w:numFmt w:val="decimal"/>
      <w:lvlText w:val=""/>
      <w:lvlJc w:val="left"/>
    </w:lvl>
    <w:lvl w:ilvl="2" w:tplc="DC762760">
      <w:numFmt w:val="decimal"/>
      <w:lvlText w:val=""/>
      <w:lvlJc w:val="left"/>
    </w:lvl>
    <w:lvl w:ilvl="3" w:tplc="E836DBEA">
      <w:numFmt w:val="decimal"/>
      <w:lvlText w:val=""/>
      <w:lvlJc w:val="left"/>
    </w:lvl>
    <w:lvl w:ilvl="4" w:tplc="3F04CA60">
      <w:numFmt w:val="decimal"/>
      <w:lvlText w:val=""/>
      <w:lvlJc w:val="left"/>
    </w:lvl>
    <w:lvl w:ilvl="5" w:tplc="674EA710">
      <w:numFmt w:val="decimal"/>
      <w:lvlText w:val=""/>
      <w:lvlJc w:val="left"/>
    </w:lvl>
    <w:lvl w:ilvl="6" w:tplc="9FF285FE">
      <w:numFmt w:val="decimal"/>
      <w:lvlText w:val=""/>
      <w:lvlJc w:val="left"/>
    </w:lvl>
    <w:lvl w:ilvl="7" w:tplc="030C4CBE">
      <w:numFmt w:val="decimal"/>
      <w:lvlText w:val=""/>
      <w:lvlJc w:val="left"/>
    </w:lvl>
    <w:lvl w:ilvl="8" w:tplc="6B180AAE">
      <w:numFmt w:val="decimal"/>
      <w:lvlText w:val=""/>
      <w:lvlJc w:val="left"/>
    </w:lvl>
  </w:abstractNum>
  <w:num w:numId="1" w16cid:durableId="453402783">
    <w:abstractNumId w:val="1"/>
    <w:lvlOverride w:ilvl="0">
      <w:startOverride w:val="1"/>
    </w:lvlOverride>
  </w:num>
  <w:num w:numId="2" w16cid:durableId="1214124140">
    <w:abstractNumId w:val="2"/>
    <w:lvlOverride w:ilvl="0">
      <w:startOverride w:val="1"/>
    </w:lvlOverride>
  </w:num>
  <w:num w:numId="3" w16cid:durableId="880822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53A"/>
    <w:rsid w:val="000F2658"/>
    <w:rsid w:val="005A40AE"/>
    <w:rsid w:val="0062510C"/>
    <w:rsid w:val="00645B33"/>
    <w:rsid w:val="006A7D5E"/>
    <w:rsid w:val="006F75B5"/>
    <w:rsid w:val="007E5B9D"/>
    <w:rsid w:val="0087753A"/>
    <w:rsid w:val="009A740C"/>
    <w:rsid w:val="00FD180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EC2D6"/>
  <w15:docId w15:val="{7FBFF19C-C48D-493A-95B2-FBAF3FD2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60"/>
      <w:outlineLvl w:val="0"/>
    </w:pPr>
    <w:rPr>
      <w:b/>
      <w:bCs/>
      <w:color w:val="1A3843"/>
      <w:sz w:val="32"/>
      <w:szCs w:val="32"/>
    </w:rPr>
  </w:style>
  <w:style w:type="paragraph" w:styleId="Heading2">
    <w:name w:val="heading 2"/>
    <w:uiPriority w:val="9"/>
    <w:unhideWhenUsed/>
    <w:qFormat/>
    <w:pPr>
      <w:spacing w:before="280" w:after="120"/>
      <w:outlineLvl w:val="1"/>
    </w:pPr>
    <w:rPr>
      <w:b/>
      <w:bCs/>
      <w:color w:val="1579B5"/>
      <w:sz w:val="26"/>
      <w:szCs w:val="26"/>
    </w:rPr>
  </w:style>
  <w:style w:type="paragraph" w:styleId="Heading3">
    <w:name w:val="heading 3"/>
    <w:uiPriority w:val="9"/>
    <w:unhideWhenUsed/>
    <w:qFormat/>
    <w:pPr>
      <w:spacing w:before="200" w:after="100"/>
      <w:outlineLvl w:val="2"/>
    </w:pPr>
    <w:rPr>
      <w:b/>
      <w:bCs/>
      <w:color w:val="1A3843"/>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5922</Words>
  <Characters>36896</Characters>
  <Application>Microsoft Office Word</Application>
  <DocSecurity>0</DocSecurity>
  <Lines>647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David Ward</cp:lastModifiedBy>
  <cp:revision>2</cp:revision>
  <dcterms:created xsi:type="dcterms:W3CDTF">2026-05-30T13:14:00Z</dcterms:created>
  <dcterms:modified xsi:type="dcterms:W3CDTF">2026-05-30T13:14:00Z</dcterms:modified>
</cp:coreProperties>
</file>