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E3B04" w14:textId="77777777" w:rsidR="004F3C11" w:rsidRDefault="00000000">
      <w:pPr>
        <w:spacing w:after="60"/>
      </w:pPr>
      <w:r>
        <w:rPr>
          <w:rFonts w:ascii="Arial" w:eastAsia="Arial" w:hAnsi="Arial" w:cs="Arial"/>
          <w:b/>
          <w:bCs/>
          <w:color w:val="A4ABB1"/>
        </w:rPr>
        <w:t>OPEN LETTER</w:t>
      </w:r>
    </w:p>
    <w:p w14:paraId="129AC5AC" w14:textId="77777777" w:rsidR="004F3C11" w:rsidRDefault="00000000">
      <w:pPr>
        <w:pBdr>
          <w:bottom w:val="single" w:sz="12" w:space="6" w:color="1579B5"/>
        </w:pBdr>
        <w:spacing w:after="40"/>
      </w:pPr>
      <w:r>
        <w:rPr>
          <w:rFonts w:ascii="Arial" w:eastAsia="Arial" w:hAnsi="Arial" w:cs="Arial"/>
          <w:b/>
          <w:bCs/>
          <w:color w:val="1A3843"/>
          <w:sz w:val="36"/>
          <w:szCs w:val="36"/>
        </w:rPr>
        <w:t>To: President Donald J. Trump</w:t>
      </w:r>
    </w:p>
    <w:p w14:paraId="569E1A52" w14:textId="77777777" w:rsidR="004F3C11" w:rsidRDefault="00000000">
      <w:pPr>
        <w:spacing w:before="80" w:after="80"/>
      </w:pPr>
      <w:r>
        <w:rPr>
          <w:rFonts w:ascii="Arial" w:eastAsia="Arial" w:hAnsi="Arial" w:cs="Arial"/>
          <w:color w:val="A4ABB1"/>
          <w:sz w:val="22"/>
          <w:szCs w:val="22"/>
        </w:rPr>
        <w:t>The White House, Washington D.C.</w:t>
      </w:r>
    </w:p>
    <w:p w14:paraId="0A649688" w14:textId="77777777" w:rsidR="004F3C11" w:rsidRDefault="00000000">
      <w:pPr>
        <w:spacing w:after="40"/>
      </w:pPr>
      <w:r>
        <w:rPr>
          <w:rFonts w:ascii="Arial" w:eastAsia="Arial" w:hAnsi="Arial" w:cs="Arial"/>
          <w:b/>
          <w:bCs/>
          <w:color w:val="1579B5"/>
          <w:sz w:val="26"/>
          <w:szCs w:val="26"/>
        </w:rPr>
        <w:t>Re: Americans Are Being Harmed in Their Own Homes — and the Government’s Measurement Tools Cannot See It</w:t>
      </w:r>
    </w:p>
    <w:p w14:paraId="4FEF919C" w14:textId="77777777" w:rsidR="004F3C11" w:rsidRDefault="00000000">
      <w:pPr>
        <w:spacing w:before="80" w:after="320"/>
      </w:pPr>
      <w:r>
        <w:rPr>
          <w:rFonts w:ascii="Arial" w:eastAsia="Arial" w:hAnsi="Arial" w:cs="Arial"/>
          <w:color w:val="A4ABB1"/>
        </w:rPr>
        <w:t>From: Dave Ward, Inventor | Ward Effect® Technology | resonancesensor@gmail.com</w:t>
      </w:r>
    </w:p>
    <w:p w14:paraId="58D15205" w14:textId="0EFCDCF3" w:rsidR="00D5371C" w:rsidRDefault="00000000">
      <w:pPr>
        <w:spacing w:before="120" w:after="160"/>
        <w:jc w:val="both"/>
        <w:rPr>
          <w:rFonts w:ascii="Arial" w:eastAsia="Arial" w:hAnsi="Arial" w:cs="Arial"/>
          <w:sz w:val="24"/>
          <w:szCs w:val="24"/>
        </w:rPr>
      </w:pPr>
      <w:r>
        <w:rPr>
          <w:rFonts w:ascii="Arial" w:eastAsia="Arial" w:hAnsi="Arial" w:cs="Arial"/>
          <w:sz w:val="24"/>
          <w:szCs w:val="24"/>
        </w:rPr>
        <w:t>Dear President Trump,</w:t>
      </w:r>
    </w:p>
    <w:p w14:paraId="6A3F5837" w14:textId="01C2DE4C" w:rsidR="00D5371C" w:rsidRDefault="00D5371C">
      <w:pPr>
        <w:spacing w:before="120" w:after="160"/>
        <w:jc w:val="both"/>
        <w:rPr>
          <w:rFonts w:ascii="Arial" w:hAnsi="Arial" w:cs="Arial"/>
          <w:b/>
          <w:bCs/>
          <w:sz w:val="26"/>
          <w:szCs w:val="26"/>
        </w:rPr>
      </w:pPr>
      <w:r>
        <w:rPr>
          <w:rFonts w:ascii="Arial" w:hAnsi="Arial" w:cs="Arial"/>
          <w:b/>
          <w:bCs/>
          <w:sz w:val="26"/>
          <w:szCs w:val="26"/>
        </w:rPr>
        <w:t>The same regulatory system has been used as a political weapon in two directions — both times against ordinary Americans. You have spoken about it. Here is the clearest possible statement of what was done and how it was done.</w:t>
      </w:r>
    </w:p>
    <w:p w14:paraId="79A07278" w14:textId="77777777" w:rsidR="00D5371C" w:rsidRPr="00D5371C" w:rsidRDefault="00D5371C" w:rsidP="00D5371C">
      <w:pPr>
        <w:spacing w:before="120" w:after="160"/>
        <w:jc w:val="both"/>
        <w:rPr>
          <w:rFonts w:ascii="Arial" w:hAnsi="Arial" w:cs="Arial"/>
          <w:b/>
          <w:bCs/>
          <w:sz w:val="26"/>
          <w:szCs w:val="26"/>
        </w:rPr>
      </w:pPr>
      <w:r>
        <w:rPr>
          <w:rFonts w:ascii="Arial" w:hAnsi="Arial" w:cs="Arial"/>
          <w:b/>
          <w:bCs/>
          <w:sz w:val="26"/>
          <w:szCs w:val="26"/>
        </w:rPr>
        <w:t>The California Delta Smelt</w:t>
      </w:r>
    </w:p>
    <w:p w14:paraId="750A8985" w14:textId="77777777" w:rsidR="005B2FF6" w:rsidRDefault="00D5371C" w:rsidP="00D5371C">
      <w:pPr>
        <w:spacing w:before="120" w:after="160"/>
        <w:jc w:val="both"/>
        <w:rPr>
          <w:rFonts w:ascii="Arial" w:hAnsi="Arial" w:cs="Arial"/>
          <w:sz w:val="26"/>
          <w:szCs w:val="26"/>
        </w:rPr>
      </w:pPr>
      <w:r>
        <w:rPr>
          <w:rFonts w:ascii="Arial" w:hAnsi="Arial" w:cs="Arial"/>
          <w:sz w:val="26"/>
          <w:szCs w:val="26"/>
        </w:rPr>
        <w:t>A five-centimetre fish was used as a political tool to shut off water to millions of acres of California farmland. Thousands of farming families lost their livelihoods. Food production collapsed. Communities were destroyed. The Endangered Species Act — designed to protect nature — was weaponised to control water supply and punish a region. The smelt was the instrument. Water was the target.</w:t>
      </w:r>
    </w:p>
    <w:p w14:paraId="1C94CFB8" w14:textId="77777777" w:rsidR="00787D5E" w:rsidRPr="00787D5E" w:rsidRDefault="00787D5E" w:rsidP="00787D5E">
      <w:pPr>
        <w:spacing w:before="120" w:after="160"/>
        <w:jc w:val="both"/>
        <w:rPr>
          <w:rFonts w:ascii="Arial" w:hAnsi="Arial" w:cs="Arial"/>
          <w:b/>
          <w:bCs/>
          <w:sz w:val="26"/>
          <w:szCs w:val="26"/>
        </w:rPr>
      </w:pPr>
      <w:r>
        <w:rPr>
          <w:rFonts w:ascii="Arial" w:hAnsi="Arial" w:cs="Arial"/>
          <w:b/>
          <w:bCs/>
          <w:sz w:val="26"/>
          <w:szCs w:val="26"/>
        </w:rPr>
        <w:t>Save the Whale</w:t>
      </w:r>
    </w:p>
    <w:p w14:paraId="13F17F2B" w14:textId="77777777" w:rsidR="00787D5E" w:rsidRPr="00787D5E" w:rsidRDefault="00787D5E" w:rsidP="00787D5E">
      <w:pPr>
        <w:spacing w:before="120" w:after="160"/>
        <w:jc w:val="both"/>
        <w:rPr>
          <w:rFonts w:ascii="Arial" w:hAnsi="Arial" w:cs="Arial"/>
          <w:sz w:val="26"/>
          <w:szCs w:val="26"/>
        </w:rPr>
      </w:pPr>
      <w:r>
        <w:rPr>
          <w:rFonts w:ascii="Arial" w:hAnsi="Arial" w:cs="Arial"/>
          <w:sz w:val="26"/>
          <w:szCs w:val="26"/>
        </w:rPr>
        <w:t>The most visible environmental protest movement of the twentieth century was built around marine mammals. That movement produced the most aggressive regulatory framework in environmental history — applied globally, enforced internationally, with criminal sanction.</w:t>
      </w:r>
    </w:p>
    <w:p w14:paraId="32A84660" w14:textId="77777777" w:rsidR="00787D5E" w:rsidRPr="00787D5E" w:rsidRDefault="00787D5E" w:rsidP="00787D5E">
      <w:pPr>
        <w:spacing w:before="120" w:after="160"/>
        <w:jc w:val="both"/>
        <w:rPr>
          <w:rFonts w:ascii="Arial" w:hAnsi="Arial" w:cs="Arial"/>
          <w:sz w:val="26"/>
          <w:szCs w:val="26"/>
        </w:rPr>
      </w:pPr>
      <w:r>
        <w:rPr>
          <w:rFonts w:ascii="Arial" w:hAnsi="Arial" w:cs="Arial"/>
          <w:sz w:val="26"/>
          <w:szCs w:val="26"/>
        </w:rPr>
        <w:t>The same organizations that built that framework have actively opposed independent acoustic monitoring requirements for offshore wind installations, opposed low-frequency vibration assessment in marine impact frameworks, and opposed turbine shutdown during marine mammal aggregation periods.</w:t>
      </w:r>
    </w:p>
    <w:p w14:paraId="7CA09BBA" w14:textId="77777777" w:rsidR="00787D5E" w:rsidRPr="00787D5E" w:rsidRDefault="00787D5E" w:rsidP="00787D5E">
      <w:pPr>
        <w:spacing w:before="120" w:after="160"/>
        <w:jc w:val="both"/>
        <w:rPr>
          <w:rFonts w:ascii="Arial" w:hAnsi="Arial" w:cs="Arial"/>
          <w:sz w:val="26"/>
          <w:szCs w:val="26"/>
        </w:rPr>
      </w:pPr>
      <w:r>
        <w:rPr>
          <w:rFonts w:ascii="Arial" w:hAnsi="Arial" w:cs="Arial"/>
          <w:sz w:val="26"/>
          <w:szCs w:val="26"/>
        </w:rPr>
        <w:t>The standard they demand for whaling is proof of no harm before any activity is permitted. The standard they demand for offshore wind is approval before any measurement is required. These are not reconcilable positions. They are political positions dressed in the vocabulary of conservation. The whales are not being protected. They are being traded.</w:t>
      </w:r>
    </w:p>
    <w:p w14:paraId="1B54559D" w14:textId="4EAA4449" w:rsidR="00D5371C" w:rsidRPr="00D5371C" w:rsidRDefault="00D5371C" w:rsidP="00D5371C">
      <w:pPr>
        <w:spacing w:before="120" w:after="160"/>
        <w:jc w:val="both"/>
        <w:rPr>
          <w:rFonts w:ascii="Arial" w:hAnsi="Arial" w:cs="Arial"/>
          <w:sz w:val="26"/>
          <w:szCs w:val="26"/>
        </w:rPr>
      </w:pPr>
      <w:r>
        <w:rPr>
          <w:rFonts w:ascii="Arial" w:hAnsi="Arial" w:cs="Arial"/>
          <w:sz w:val="26"/>
          <w:szCs w:val="26"/>
        </w:rPr>
        <w:t xml:space="preserve"> </w:t>
      </w:r>
    </w:p>
    <w:p w14:paraId="365F131A" w14:textId="77777777" w:rsidR="00D5371C" w:rsidRPr="00D5371C" w:rsidRDefault="00D5371C" w:rsidP="00D5371C">
      <w:pPr>
        <w:spacing w:before="120" w:after="160"/>
        <w:jc w:val="both"/>
        <w:rPr>
          <w:rFonts w:ascii="Arial" w:hAnsi="Arial" w:cs="Arial"/>
          <w:b/>
          <w:bCs/>
          <w:sz w:val="26"/>
          <w:szCs w:val="26"/>
        </w:rPr>
      </w:pPr>
      <w:r>
        <w:rPr>
          <w:rFonts w:ascii="Arial" w:hAnsi="Arial" w:cs="Arial"/>
          <w:b/>
          <w:bCs/>
          <w:sz w:val="26"/>
          <w:szCs w:val="26"/>
        </w:rPr>
        <w:t>Wind Turbine Noise Standards</w:t>
      </w:r>
    </w:p>
    <w:p w14:paraId="786CA6CE" w14:textId="214B0865" w:rsidR="00D5371C" w:rsidRPr="00D5371C" w:rsidRDefault="00C979BC" w:rsidP="00D5371C">
      <w:pPr>
        <w:spacing w:before="120" w:after="160"/>
        <w:jc w:val="both"/>
        <w:rPr>
          <w:rFonts w:ascii="Arial" w:hAnsi="Arial" w:cs="Arial"/>
          <w:sz w:val="26"/>
          <w:szCs w:val="26"/>
        </w:rPr>
      </w:pPr>
      <w:r>
        <w:rPr>
          <w:rFonts w:ascii="Arial" w:hAnsi="Arial" w:cs="Arial"/>
          <w:sz w:val="26"/>
          <w:szCs w:val="26"/>
        </w:rPr>
        <w:t xml:space="preserve">Wind turbine regulations were written in reverse — not to detect harm, but to guarantee that no harm could ever be legally proven. Ground-borne vibration, </w:t>
        <w:lastRenderedPageBreak/>
        <w:t>structural resonance, damage to birds including the Bald Eagle, harm to whales and marine life, and destruction of human health — all excluded. Not by accident. By design. The regulations were the instrument. Construction approvals were the target.</w:t>
      </w:r>
    </w:p>
    <w:p w14:paraId="10DDA44B" w14:textId="77777777" w:rsidR="00D5371C" w:rsidRPr="00D5371C" w:rsidRDefault="00D5371C">
      <w:pPr>
        <w:spacing w:before="120" w:after="160"/>
        <w:jc w:val="both"/>
        <w:rPr>
          <w:rFonts w:ascii="Arial" w:hAnsi="Arial" w:cs="Arial"/>
          <w:b/>
          <w:bCs/>
          <w:sz w:val="26"/>
          <w:szCs w:val="26"/>
        </w:rPr>
      </w:pPr>
    </w:p>
    <w:p w14:paraId="2650B22E" w14:textId="77777777" w:rsidR="004F3C11" w:rsidRDefault="004F3C11">
      <w:pPr>
        <w:spacing w:before="100" w:after="100"/>
      </w:pPr>
    </w:p>
    <w:p w14:paraId="00D05692" w14:textId="568DE115" w:rsidR="004F3C11" w:rsidRPr="00D5371C" w:rsidRDefault="00000000">
      <w:pPr>
        <w:pBdr>
          <w:left w:val="single" w:sz="12" w:space="12" w:color="1579B5"/>
        </w:pBdr>
        <w:spacing w:before="120" w:after="160"/>
        <w:ind w:left="360"/>
        <w:jc w:val="both"/>
      </w:pPr>
      <w:r>
        <w:rPr>
          <w:rFonts w:ascii="Arial" w:eastAsia="Arial" w:hAnsi="Arial" w:cs="Arial"/>
          <w:color w:val="1A3843"/>
          <w:sz w:val="26"/>
          <w:szCs w:val="26"/>
        </w:rPr>
        <w:t>It is not reasonable to accept that basic science — taught and demonstrated in every high school physics class in the world — was omitted from wind turbine regulations by accident. There is no innocent explanation for this omission. The science existed. The instrumentation existed. The engineering disciplines that apply it existed. None of it was incorporated. The only coherent explanation is that the regulatory framework was designed to produce compliance, not to detect harm.</w:t>
      </w:r>
    </w:p>
    <w:p w14:paraId="5395D9EF" w14:textId="77777777" w:rsidR="004F3C11" w:rsidRDefault="004F3C11">
      <w:pPr>
        <w:spacing w:before="100" w:after="100"/>
      </w:pPr>
    </w:p>
    <w:p w14:paraId="36D676D3" w14:textId="549E1F5C" w:rsidR="004F3C11" w:rsidRDefault="00000000">
      <w:pPr>
        <w:pBdr>
          <w:left w:val="single" w:sz="12" w:space="12" w:color="1579B5"/>
        </w:pBdr>
        <w:spacing w:before="120" w:after="160"/>
        <w:ind w:left="360"/>
        <w:jc w:val="both"/>
      </w:pPr>
      <w:r>
        <w:rPr>
          <w:rFonts w:ascii="Arial" w:eastAsia="Arial" w:hAnsi="Arial" w:cs="Arial"/>
          <w:b/>
          <w:bCs/>
          <w:color w:val="1A3843"/>
          <w:sz w:val="24"/>
          <w:szCs w:val="24"/>
        </w:rPr>
        <w:t xml:space="preserve">What is happening to families near wind turbines is basic physics. It is taught in every entry-level physics class, demonstrated in every undergraduate laboratory. Ground-borne vibration and structural resonance. The aerodynamic impact on birds. The hydrological effects on fisheries. All of it standard science. None of it incorporated into wind turbine regulations — because those regulations were not written to assess harm. They were written to ensure that turbines could be approved and built. Damage to birds, damage to fisheries, damage to homes: nothing covered. The science was available. It was set aside. Americans are paying for that decision with their health, their homes, and their livelihoods. I will explain the mechanism by how this was done </w:t>
      </w:r>
    </w:p>
    <w:p w14:paraId="5C994927" w14:textId="77777777" w:rsidR="004F3C11" w:rsidRDefault="004F3C11">
      <w:pPr>
        <w:spacing w:before="100" w:after="100"/>
      </w:pPr>
    </w:p>
    <w:p w14:paraId="7F984876" w14:textId="2FDA8F0C" w:rsidR="004F3C11" w:rsidRDefault="00000000">
      <w:pPr>
        <w:spacing w:before="120" w:after="160"/>
        <w:jc w:val="both"/>
      </w:pPr>
      <w:r>
        <w:rPr>
          <w:rFonts w:ascii="Arial" w:eastAsia="Arial" w:hAnsi="Arial" w:cs="Arial"/>
          <w:sz w:val="24"/>
          <w:szCs w:val="24"/>
        </w:rPr>
        <w:t>You have been right about wind turbines. Not just on cost, not just on reliability — but on harm. You and thousands of American intuitively know that something is wrong. Thousands of American families living near wind turbine installations have reported sleep disruption, headaches, pressure sensations, and chronic health impacts. They have gone to their local authorities. They have been told the turbines are within noise limits. They have been sent home.</w:t>
      </w:r>
    </w:p>
    <w:p w14:paraId="1020DB45" w14:textId="77777777" w:rsidR="004F3C11" w:rsidRDefault="004F3C11">
      <w:pPr>
        <w:spacing w:before="100" w:after="100"/>
      </w:pPr>
    </w:p>
    <w:p w14:paraId="5788980B" w14:textId="7F44D377" w:rsidR="004F3C11" w:rsidRDefault="00000000">
      <w:pPr>
        <w:spacing w:before="120" w:after="160"/>
        <w:jc w:val="both"/>
      </w:pPr>
      <w:r>
        <w:rPr>
          <w:rFonts w:ascii="Arial" w:eastAsia="Arial" w:hAnsi="Arial" w:cs="Arial"/>
          <w:sz w:val="24"/>
          <w:szCs w:val="24"/>
        </w:rPr>
        <w:t xml:space="preserve">Here is what nobody in those regulatory agencies has told them: </w:t>
      </w:r>
      <w:r>
        <w:rPr>
          <w:rFonts w:ascii="Arial" w:eastAsia="Arial" w:hAnsi="Arial" w:cs="Arial"/>
          <w:b/>
          <w:bCs/>
          <w:sz w:val="24"/>
          <w:szCs w:val="24"/>
        </w:rPr>
        <w:t xml:space="preserve">the measurement tools used to determine compliance cannot physically detect the mechanism causing the harm. Air borne noise is Physically incapable of causing observed harm </w:t>
      </w:r>
    </w:p>
    <w:p w14:paraId="2E3DBDC2" w14:textId="77777777" w:rsidR="004F3C11" w:rsidRDefault="004F3C11">
      <w:pPr>
        <w:spacing w:before="100" w:after="100"/>
      </w:pPr>
    </w:p>
    <w:p w14:paraId="11A57433" w14:textId="77777777" w:rsidR="004F3C11" w:rsidRDefault="00000000">
      <w:pPr>
        <w:spacing w:before="120" w:after="160"/>
        <w:jc w:val="both"/>
      </w:pPr>
      <w:r>
        <w:rPr>
          <w:rFonts w:ascii="Arial" w:eastAsia="Arial" w:hAnsi="Arial" w:cs="Arial"/>
          <w:sz w:val="24"/>
          <w:szCs w:val="24"/>
        </w:rPr>
        <w:t>This is not a matter of political opinion. It is a matter of physics. And it has a straightforward solution. The full scientific basis is set out in the accompanying technical white paper: “Wind Turbine Ground-Borne Vibration: Why A-Weighted Airborne Standards Fail to Detect the Dominant Harm Mechanism” (Ward, 2025), available at wardeffect.com and on request from resonancesensor@gmail.com.</w:t>
      </w:r>
    </w:p>
    <w:p w14:paraId="13678F43" w14:textId="77777777" w:rsidR="004F3C11" w:rsidRDefault="004F3C11">
      <w:pPr>
        <w:spacing w:before="100" w:after="100"/>
      </w:pPr>
    </w:p>
    <w:p w14:paraId="06EFC2CD" w14:textId="77777777" w:rsidR="004F3C11" w:rsidRDefault="00000000">
      <w:pPr>
        <w:pBdr>
          <w:bottom w:val="single" w:sz="6" w:space="4" w:color="1579B5"/>
        </w:pBdr>
        <w:spacing w:before="360" w:after="160"/>
      </w:pPr>
      <w:r>
        <w:rPr>
          <w:rFonts w:ascii="Arial" w:eastAsia="Arial" w:hAnsi="Arial" w:cs="Arial"/>
          <w:b/>
          <w:bCs/>
          <w:color w:val="1A3843"/>
          <w:sz w:val="28"/>
          <w:szCs w:val="28"/>
        </w:rPr>
        <w:t>The Problem: The Ruler Is Measuring the Wrong Thing</w:t>
      </w:r>
    </w:p>
    <w:p w14:paraId="3710F48F" w14:textId="0E7187C0" w:rsidR="004F3C11" w:rsidRDefault="00000000">
      <w:pPr>
        <w:spacing w:before="120" w:after="160"/>
        <w:jc w:val="both"/>
      </w:pPr>
      <w:r>
        <w:rPr>
          <w:rFonts w:ascii="Arial" w:eastAsia="Arial" w:hAnsi="Arial" w:cs="Arial"/>
          <w:sz w:val="24"/>
          <w:szCs w:val="24"/>
        </w:rPr>
        <w:t xml:space="preserve">Current federal and state wind turbine regulations require developers to measure airborne sound — what you hear in the open air — at property boundaries. This measurement uses a frequency filter called A-weighting, designed in the 1930s for factory floor noise assessment. It Physically does not have the power to cause the damage recorded </w:t>
      </w:r>
    </w:p>
    <w:p w14:paraId="2082F3BC" w14:textId="15FDD38B" w:rsidR="004F3C11" w:rsidRDefault="00000000">
      <w:pPr>
        <w:spacing w:before="120" w:after="160"/>
        <w:jc w:val="both"/>
      </w:pPr>
      <w:r>
        <w:rPr>
          <w:rFonts w:ascii="Arial" w:eastAsia="Arial" w:hAnsi="Arial" w:cs="Arial"/>
          <w:sz w:val="24"/>
          <w:szCs w:val="24"/>
        </w:rPr>
        <w:t>The airborne noise that regulations measure carries almost no energy. At typical residential distances, wind turbine sound levels of 35–45 dB(A) correspond to acoustic intensities in the range of millionths of a watt per square metre. The medium is air — low density, high attenuation, rapid energy loss with distance. These are low-energy pressure waves. Regulating wind turbine noise by measuring this airborne component is like measuring an earthquake by the air pressure it displaces and concluding there is no danger — while ignoring that some buildings will be more severely affected than others and that the mechanism of harm travels through the ground, not the air. The airborne noise is real, measurable, and associated with the turbine. But it is not the primary harm pathway, and not every building will be equally affected. That variability is not anomalous. It is the expected consequence of ground-borne structural resonance — and it is precisely what the compliance framework was written to hide.</w:t>
      </w:r>
    </w:p>
    <w:p w14:paraId="5ACD2858" w14:textId="086A41E3" w:rsidR="004F3C11" w:rsidRDefault="00000000">
      <w:pPr>
        <w:spacing w:before="120" w:after="160"/>
        <w:jc w:val="both"/>
      </w:pPr>
      <w:r>
        <w:rPr>
          <w:rFonts w:ascii="Arial" w:eastAsia="Arial" w:hAnsi="Arial" w:cs="Arial"/>
          <w:sz w:val="24"/>
          <w:szCs w:val="24"/>
        </w:rPr>
        <w:t>The ground-borne pathway is a different order of magnitude entirely. Rock is more than 1,000 times denser than air. The same mechanical energy that produces a barely perceptible air pressure wave carries enormous destructive power when it travels through solid ground. Wind turbine foundations drive thousands of tons of rotating mechanical load directly into the earth. That energy does not dissipate into air. It propagates through geology, retaining far more energy over far greater distances than any airborne wave could.</w:t>
      </w:r>
    </w:p>
    <w:p w14:paraId="0B91A8E4" w14:textId="77777777" w:rsidR="004F3C11" w:rsidRDefault="00000000">
      <w:pPr>
        <w:pBdr>
          <w:left w:val="single" w:sz="12" w:space="12" w:color="1579B5"/>
        </w:pBdr>
        <w:spacing w:before="200" w:after="160"/>
        <w:ind w:left="360"/>
        <w:jc w:val="both"/>
      </w:pPr>
      <w:r>
        <w:rPr>
          <w:rFonts w:ascii="Arial" w:eastAsia="Arial" w:hAnsi="Arial" w:cs="Arial"/>
          <w:sz w:val="24"/>
          <w:szCs w:val="24"/>
        </w:rPr>
        <w:t>A Category 5 typhoon is visibly violent. A tsunami 1 metre high in open ocean is invisible — you cannot see it, feel it, or hear it from a boat. Yet that tsunami carries enough energy to destroy entire coastal cities hundreds of kilometres away. The difference is medium density: water is 800 times denser than air, rock more than 1,000 times. Current wind turbine regulation measures the typhoon — the visible, low-energy airborne wave — and entirely ignores the tsunami moving through the ground beneath affected communities.</w:t>
      </w:r>
    </w:p>
    <w:p w14:paraId="6E08DC09" w14:textId="77777777" w:rsidR="004F3C11" w:rsidRDefault="00000000">
      <w:pPr>
        <w:spacing w:before="200" w:after="60"/>
        <w:jc w:val="center"/>
      </w:pPr>
      <w:r>
        <w:rPr>
          <w:noProof/>
        </w:rPr>
        <w:lastRenderedPageBreak/>
        <w:drawing>
          <wp:inline distT="0" distB="0" distL="0" distR="0" wp14:anchorId="32323C3A" wp14:editId="4C3D5C9A">
            <wp:extent cx="5486400" cy="3724053"/>
            <wp:effectExtent l="0" t="0" r="0" b="0"/>
            <wp:docPr id="201" name="img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g201"/>
                    <pic:cNvPicPr>
                      <a:picLocks noChangeAspect="1" noChangeArrowheads="1"/>
                    </pic:cNvPicPr>
                  </pic:nvPicPr>
                  <pic:blipFill>
                    <a:blip r:embed="rId7"/>
                    <a:stretch>
                      <a:fillRect/>
                    </a:stretch>
                  </pic:blipFill>
                  <pic:spPr bwMode="auto">
                    <a:xfrm>
                      <a:off x="0" y="0"/>
                      <a:ext cx="5486400" cy="3724053"/>
                    </a:xfrm>
                    <a:prstGeom prst="rect">
                      <a:avLst/>
                    </a:prstGeom>
                    <a:noFill/>
                  </pic:spPr>
                </pic:pic>
              </a:graphicData>
            </a:graphic>
          </wp:inline>
        </w:drawing>
      </w:r>
    </w:p>
    <w:p w14:paraId="64EE41B9" w14:textId="77777777" w:rsidR="004F3C11" w:rsidRDefault="00000000">
      <w:pPr>
        <w:spacing w:before="40" w:after="160"/>
        <w:jc w:val="center"/>
      </w:pPr>
      <w:r>
        <w:rPr>
          <w:rFonts w:ascii="Arial" w:eastAsia="Arial" w:hAnsi="Arial" w:cs="Arial"/>
          <w:i/>
          <w:iCs/>
          <w:color w:val="A4ABB1"/>
          <w:sz w:val="18"/>
          <w:szCs w:val="18"/>
        </w:rPr>
        <w:t>The complete ground-borne vibration pathway: turbine foundation → geology → building resonance → occupant. The building is the active source of the perceptible harm. This pathway is entirely unmeasured by current wind turbine compliance frameworks.</w:t>
      </w:r>
    </w:p>
    <w:p w14:paraId="19CFC938" w14:textId="4A93C752" w:rsidR="003F2115" w:rsidRPr="003F2115" w:rsidRDefault="00000000" w:rsidP="003F2115">
      <w:pPr>
        <w:spacing w:before="120" w:after="160"/>
        <w:jc w:val="both"/>
        <w:rPr>
          <w:rFonts w:ascii="Arial" w:eastAsia="Arial" w:hAnsi="Arial" w:cs="Arial"/>
          <w:sz w:val="24"/>
          <w:szCs w:val="24"/>
        </w:rPr>
      </w:pPr>
      <w:r>
        <w:rPr>
          <w:rFonts w:ascii="Arial" w:eastAsia="Arial" w:hAnsi="Arial" w:cs="Arial"/>
          <w:sz w:val="24"/>
          <w:szCs w:val="24"/>
        </w:rPr>
        <w:t xml:space="preserve">Wind turbine foundations drive enormous forces into the earth with every blade rotation. Those forces travel as ground vibration through the geology beneath communities. When that vibration reaches a home’s foundation, it excites the building structure at its own natural resonant frequencies. The building then re-radiates this energy as broadband audible sound and tactile vibration throughout the interior — across a spectrum that can extend far above the original infrasound input. The occupants do not experience the turbine’s signal. They experience their building’s amplified structural response to it. A documented case in Scotland recorded 85 dB inside a home located 5 kilometres from a wind turbine, with all internal sources switched off — while the boundary airborne measurement outside was only 50 dB. That 35 dB differential between outside and inside is not transmission. It is structural resonance amplification: the building generating sound from ground-borne excitation. The occupant had no legal redress because the only legally acceptable measurement is the air borne outside measurement. Regulator point to the air borne measurement then, call the affected occupants: </w:t>
      </w:r>
    </w:p>
    <w:p w14:paraId="63525D55" w14:textId="11C52BC8" w:rsidR="003F2115" w:rsidRPr="003F2115" w:rsidRDefault="003F2115" w:rsidP="003F2115">
      <w:pPr>
        <w:spacing w:before="120" w:after="16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bCs/>
          <w:sz w:val="24"/>
          <w:szCs w:val="24"/>
        </w:rPr>
        <w:t>Noise sensitive"</w:t>
      </w:r>
      <w:r>
        <w:rPr>
          <w:rFonts w:ascii="Arial" w:eastAsia="Arial" w:hAnsi="Arial" w:cs="Arial"/>
          <w:sz w:val="24"/>
          <w:szCs w:val="24"/>
        </w:rPr>
        <w:t xml:space="preserve"> — implies personal weakness </w:t>
      </w:r>
    </w:p>
    <w:p w14:paraId="69D38302" w14:textId="77777777" w:rsidR="003F2115" w:rsidRPr="003F2115" w:rsidRDefault="003F2115" w:rsidP="003F2115">
      <w:pPr>
        <w:spacing w:before="120" w:after="16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bCs/>
          <w:sz w:val="24"/>
          <w:szCs w:val="24"/>
        </w:rPr>
        <w:t>"Nocebo responders"</w:t>
      </w:r>
      <w:r>
        <w:rPr>
          <w:rFonts w:ascii="Arial" w:eastAsia="Arial" w:hAnsi="Arial" w:cs="Arial"/>
          <w:sz w:val="24"/>
          <w:szCs w:val="24"/>
        </w:rPr>
        <w:t xml:space="preserve"> — implies symptoms are psychosomatic </w:t>
      </w:r>
    </w:p>
    <w:p w14:paraId="7255CA9A" w14:textId="77777777" w:rsidR="003F2115" w:rsidRPr="003F2115" w:rsidRDefault="003F2115" w:rsidP="003F2115">
      <w:pPr>
        <w:spacing w:before="120" w:after="16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bCs/>
          <w:sz w:val="24"/>
          <w:szCs w:val="24"/>
        </w:rPr>
        <w:t>"Wind turbine syndrome"</w:t>
      </w:r>
      <w:r>
        <w:rPr>
          <w:rFonts w:ascii="Arial" w:eastAsia="Arial" w:hAnsi="Arial" w:cs="Arial"/>
          <w:sz w:val="24"/>
          <w:szCs w:val="24"/>
        </w:rPr>
        <w:t xml:space="preserve"> — coined to sound like a made-up condition </w:t>
      </w:r>
    </w:p>
    <w:p w14:paraId="536739E4" w14:textId="604A5ED8" w:rsidR="003F2115" w:rsidRPr="003F2115" w:rsidRDefault="003F2115" w:rsidP="003F2115">
      <w:pPr>
        <w:spacing w:before="120" w:after="16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bCs/>
          <w:sz w:val="24"/>
          <w:szCs w:val="24"/>
        </w:rPr>
        <w:t>"Annoyance response"</w:t>
      </w:r>
      <w:r>
        <w:rPr>
          <w:rFonts w:ascii="Arial" w:eastAsia="Arial" w:hAnsi="Arial" w:cs="Arial"/>
          <w:sz w:val="24"/>
          <w:szCs w:val="24"/>
        </w:rPr>
        <w:t xml:space="preserve"> — implies overreaction</w:t>
      </w:r>
    </w:p>
    <w:p w14:paraId="3A24C3C8" w14:textId="77777777" w:rsidR="003F2115" w:rsidRPr="003F2115" w:rsidRDefault="003F2115" w:rsidP="003F2115">
      <w:pPr>
        <w:spacing w:before="120" w:after="16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bCs/>
          <w:sz w:val="24"/>
          <w:szCs w:val="24"/>
        </w:rPr>
        <w:t>"Wind turbine syndrome"</w:t>
      </w:r>
      <w:r>
        <w:rPr>
          <w:rFonts w:ascii="Arial" w:eastAsia="Arial" w:hAnsi="Arial" w:cs="Arial"/>
          <w:sz w:val="24"/>
          <w:szCs w:val="24"/>
        </w:rPr>
        <w:t xml:space="preserve"> — coined to sound like a made-up condition </w:t>
      </w:r>
    </w:p>
    <w:p w14:paraId="235C4B2C" w14:textId="2F77B556" w:rsidR="004F3C11" w:rsidRDefault="003F2115" w:rsidP="003F2115">
      <w:pPr>
        <w:spacing w:before="120" w:after="160"/>
        <w:jc w:val="both"/>
      </w:pPr>
      <w:r>
        <w:rPr>
          <w:rFonts w:ascii="Arial" w:eastAsia="Arial" w:hAnsi="Arial" w:cs="Arial"/>
          <w:sz w:val="24"/>
          <w:szCs w:val="24"/>
        </w:rPr>
        <w:lastRenderedPageBreak/>
        <w:t xml:space="preserve">  </w:t>
      </w:r>
      <w:r>
        <w:rPr>
          <w:rFonts w:ascii="Arial" w:eastAsia="Arial" w:hAnsi="Arial" w:cs="Arial"/>
          <w:b/>
          <w:bCs/>
          <w:sz w:val="24"/>
          <w:szCs w:val="24"/>
        </w:rPr>
        <w:t>"Annoyance response"</w:t>
      </w:r>
      <w:r>
        <w:rPr>
          <w:rFonts w:ascii="Arial" w:eastAsia="Arial" w:hAnsi="Arial" w:cs="Arial"/>
          <w:sz w:val="24"/>
          <w:szCs w:val="24"/>
        </w:rPr>
        <w:t xml:space="preserve"> — implies overreaction </w:t>
      </w:r>
    </w:p>
    <w:p w14:paraId="26BC9F38" w14:textId="77777777" w:rsidR="004F3C11" w:rsidRDefault="004F3C11">
      <w:pPr>
        <w:spacing w:before="100" w:after="100"/>
      </w:pPr>
    </w:p>
    <w:p w14:paraId="2D34DEB8" w14:textId="77777777" w:rsidR="004F3C11" w:rsidRDefault="00000000">
      <w:pPr>
        <w:spacing w:before="120" w:after="160"/>
        <w:jc w:val="both"/>
      </w:pPr>
      <w:r>
        <w:rPr>
          <w:rFonts w:ascii="Arial" w:eastAsia="Arial" w:hAnsi="Arial" w:cs="Arial"/>
          <w:sz w:val="24"/>
          <w:szCs w:val="24"/>
        </w:rPr>
        <w:t xml:space="preserve">This is why one family at 800 metres from a turbine is devastated and their neighbour at 600 metres is unaffected. </w:t>
      </w:r>
      <w:r>
        <w:rPr>
          <w:rFonts w:ascii="Arial" w:eastAsia="Arial" w:hAnsi="Arial" w:cs="Arial"/>
          <w:b/>
          <w:bCs/>
          <w:sz w:val="24"/>
          <w:szCs w:val="24"/>
        </w:rPr>
        <w:t>It is not distance. It is geology.</w:t>
      </w:r>
      <w:r>
        <w:rPr>
          <w:rFonts w:ascii="Arial" w:eastAsia="Arial" w:hAnsi="Arial" w:cs="Arial"/>
          <w:sz w:val="24"/>
          <w:szCs w:val="24"/>
        </w:rPr>
        <w:t xml:space="preserve"> Rock type, soil composition, aquifer presence, and geological fault lines determine where ground vibration travels and where it concentrates. This is well-understood science. It is used every day in mining, railway construction, and building design. It has simply never been applied to wind turbine assessment, because the standard does not require it.</w:t>
      </w:r>
    </w:p>
    <w:p w14:paraId="6050F53C" w14:textId="77777777" w:rsidR="004F3C11" w:rsidRDefault="004F3C11">
      <w:pPr>
        <w:spacing w:before="100" w:after="100"/>
      </w:pPr>
    </w:p>
    <w:p w14:paraId="50E09759" w14:textId="5C674F98" w:rsidR="00AB6566" w:rsidRPr="00AB6566" w:rsidRDefault="00000000" w:rsidP="00AB6566">
      <w:pPr>
        <w:pBdr>
          <w:bottom w:val="single" w:sz="6" w:space="4" w:color="1579B5"/>
        </w:pBdr>
        <w:spacing w:before="360" w:after="160"/>
      </w:pPr>
      <w:r>
        <w:rPr>
          <w:rFonts w:ascii="Arial" w:eastAsia="Arial" w:hAnsi="Arial" w:cs="Arial"/>
          <w:b/>
          <w:bCs/>
          <w:color w:val="1A3843"/>
          <w:sz w:val="28"/>
          <w:szCs w:val="28"/>
        </w:rPr>
        <w:t>The Deception: Compliance That Proves Nothing</w:t>
      </w:r>
    </w:p>
    <w:p w14:paraId="61BFDC3E" w14:textId="1F560613" w:rsidR="004F3C11" w:rsidRDefault="00000000">
      <w:pPr>
        <w:spacing w:before="120" w:after="160"/>
        <w:jc w:val="both"/>
      </w:pPr>
      <w:r>
        <w:rPr>
          <w:rFonts w:ascii="Arial" w:eastAsia="Arial" w:hAnsi="Arial" w:cs="Arial"/>
          <w:sz w:val="24"/>
          <w:szCs w:val="24"/>
        </w:rPr>
        <w:t xml:space="preserve">Wind turbine developers commission acoustic consultants to demonstrate compliance with the applicable noise standard. The standard specifies A-weighted airborne sound measurement at the property boundary. The consultants measure exactly that and nothing else. The result says ‘compliant.’ Then every argument is centered on air borne noise levels, though air borne noise is physically incapable of causing the observed damage. </w:t>
      </w:r>
    </w:p>
    <w:p w14:paraId="18713155" w14:textId="77777777" w:rsidR="004F3C11" w:rsidRDefault="00000000">
      <w:pPr>
        <w:spacing w:before="120" w:after="160"/>
        <w:jc w:val="both"/>
      </w:pPr>
      <w:r>
        <w:rPr>
          <w:rFonts w:ascii="Arial" w:eastAsia="Arial" w:hAnsi="Arial" w:cs="Arial"/>
          <w:sz w:val="24"/>
          <w:szCs w:val="24"/>
        </w:rPr>
        <w:t>But the family inside the house is still sick. Their walls are vibrating. Their sleep is destroyed. They cannot sell their home because no buyer will purchase a property where the occupants cannot sleep.</w:t>
      </w:r>
    </w:p>
    <w:p w14:paraId="497E588E" w14:textId="69674DA5" w:rsidR="004F3C11" w:rsidRDefault="00000000">
      <w:pPr>
        <w:spacing w:before="120" w:after="160"/>
        <w:jc w:val="both"/>
      </w:pPr>
      <w:r>
        <w:rPr>
          <w:rFonts w:ascii="Arial" w:eastAsia="Arial" w:hAnsi="Arial" w:cs="Arial"/>
          <w:sz w:val="24"/>
          <w:szCs w:val="24"/>
        </w:rPr>
        <w:t xml:space="preserve">When they complain, they are shown the compliance certificate and told there is no problem. </w:t>
      </w:r>
      <w:r>
        <w:rPr>
          <w:rFonts w:ascii="Arial" w:eastAsia="Arial" w:hAnsi="Arial" w:cs="Arial"/>
          <w:b/>
          <w:bCs/>
          <w:sz w:val="24"/>
          <w:szCs w:val="24"/>
        </w:rPr>
        <w:t>The system is not failing to enforce the rules. The rules themselves are incapable of detecting the harm — and were written that way.</w:t>
      </w:r>
    </w:p>
    <w:p w14:paraId="0F180ECA" w14:textId="77777777" w:rsidR="004F3C11" w:rsidRDefault="00000000">
      <w:pPr>
        <w:spacing w:before="120" w:after="160"/>
        <w:jc w:val="both"/>
      </w:pPr>
      <w:r>
        <w:rPr>
          <w:rFonts w:ascii="Arial" w:eastAsia="Arial" w:hAnsi="Arial" w:cs="Arial"/>
          <w:sz w:val="24"/>
          <w:szCs w:val="24"/>
        </w:rPr>
        <w:t>This is regulatory capture at its most fundamental level. The wind industry participated in the development of the measurement standards that govern their own compliance. The result is a framework that is very effective at producing compliance numbers and structurally blind to the mechanism of harm.</w:t>
      </w:r>
    </w:p>
    <w:p w14:paraId="28FC0EA3" w14:textId="77777777" w:rsidR="004F3C11" w:rsidRDefault="004F3C11">
      <w:pPr>
        <w:spacing w:before="100" w:after="100"/>
      </w:pPr>
    </w:p>
    <w:p w14:paraId="68CA3FFB" w14:textId="77777777" w:rsidR="004F3C11" w:rsidRDefault="00000000">
      <w:pPr>
        <w:pBdr>
          <w:bottom w:val="single" w:sz="6" w:space="4" w:color="1579B5"/>
        </w:pBdr>
        <w:spacing w:before="360" w:after="160"/>
      </w:pPr>
      <w:r>
        <w:rPr>
          <w:rFonts w:ascii="Arial" w:eastAsia="Arial" w:hAnsi="Arial" w:cs="Arial"/>
          <w:b/>
          <w:bCs/>
          <w:color w:val="1A3843"/>
          <w:sz w:val="28"/>
          <w:szCs w:val="28"/>
        </w:rPr>
        <w:t>The Logical Case That Omission Was by Design</w:t>
      </w:r>
    </w:p>
    <w:p w14:paraId="320565F0" w14:textId="77777777" w:rsidR="004F3C11" w:rsidRDefault="00000000">
      <w:pPr>
        <w:spacing w:before="120" w:after="160"/>
        <w:jc w:val="both"/>
      </w:pPr>
      <w:r>
        <w:rPr>
          <w:rFonts w:ascii="Arial" w:eastAsia="Arial" w:hAnsi="Arial" w:cs="Arial"/>
          <w:sz w:val="24"/>
          <w:szCs w:val="24"/>
        </w:rPr>
        <w:t>The claim that this omission was by design is not an accusation requiring faith. It is a logical conclusion requiring only that every innocent alternative explanation be tested. Each one fails.</w:t>
      </w:r>
    </w:p>
    <w:p w14:paraId="1424754B" w14:textId="77777777" w:rsidR="004F3C11" w:rsidRDefault="00000000">
      <w:pPr>
        <w:spacing w:before="100" w:after="120"/>
        <w:jc w:val="both"/>
      </w:pPr>
      <w:r>
        <w:rPr>
          <w:rFonts w:ascii="Arial" w:eastAsia="Arial" w:hAnsi="Arial" w:cs="Arial"/>
          <w:b/>
          <w:bCs/>
          <w:sz w:val="24"/>
          <w:szCs w:val="24"/>
        </w:rPr>
        <w:t>Ignorance of the physics</w:t>
      </w:r>
      <w:r>
        <w:rPr>
          <w:rFonts w:ascii="Arial" w:eastAsia="Arial" w:hAnsi="Arial" w:cs="Arial"/>
          <w:sz w:val="24"/>
          <w:szCs w:val="24"/>
        </w:rPr>
        <w:t xml:space="preserve"> is not plausible. Sympathetic resonance and harmonic excitation have been taught with physical demonstrations — tuning forks, Barton’s pendulums, resonance tubes — in every first-year physics course for over a century. Every mechanical engineer working with rotating machinery is required to account for it. The experts who drafted ETSU-R-97 and equivalent standards were not unaware of resonance. They excluded it from the scope of wind turbine assessment.</w:t>
      </w:r>
    </w:p>
    <w:p w14:paraId="55B46E33" w14:textId="77777777" w:rsidR="004F3C11" w:rsidRDefault="00000000">
      <w:pPr>
        <w:spacing w:before="100" w:after="120"/>
        <w:jc w:val="both"/>
      </w:pPr>
      <w:r>
        <w:rPr>
          <w:rFonts w:ascii="Arial" w:eastAsia="Arial" w:hAnsi="Arial" w:cs="Arial"/>
          <w:b/>
          <w:bCs/>
          <w:sz w:val="24"/>
          <w:szCs w:val="24"/>
        </w:rPr>
        <w:lastRenderedPageBreak/>
        <w:t>Consideration and rejection</w:t>
      </w:r>
      <w:r>
        <w:rPr>
          <w:rFonts w:ascii="Arial" w:eastAsia="Arial" w:hAnsi="Arial" w:cs="Arial"/>
          <w:sz w:val="24"/>
          <w:szCs w:val="24"/>
        </w:rPr>
        <w:t xml:space="preserve"> is not supported by the record. There is no documented technical discussion, regulatory review, or working group report in the development of any major wind turbine noise standard that evaluates and dismisses ground-borne transmission or structural resonance as a harm pathway. What was never considered cannot have been judged inapplicable.</w:t>
      </w:r>
    </w:p>
    <w:p w14:paraId="05F47DF6" w14:textId="77777777" w:rsidR="004F3C11" w:rsidRDefault="00000000">
      <w:pPr>
        <w:spacing w:before="100" w:after="120"/>
        <w:jc w:val="both"/>
      </w:pPr>
      <w:r>
        <w:rPr>
          <w:rFonts w:ascii="Arial" w:eastAsia="Arial" w:hAnsi="Arial" w:cs="Arial"/>
          <w:b/>
          <w:bCs/>
          <w:sz w:val="24"/>
          <w:szCs w:val="24"/>
        </w:rPr>
        <w:t>Lack of available technology</w:t>
      </w:r>
      <w:r>
        <w:rPr>
          <w:rFonts w:ascii="Arial" w:eastAsia="Arial" w:hAnsi="Arial" w:cs="Arial"/>
          <w:sz w:val="24"/>
          <w:szCs w:val="24"/>
        </w:rPr>
        <w:t xml:space="preserve"> is false. Seismometers, geophones, accelerometers, and contact microphones all predate utility-scale wind turbines. Seismic monitoring networks capable of detecting blade-pass frequency ground signals were already operational when the first standards were written.</w:t>
      </w:r>
    </w:p>
    <w:p w14:paraId="0F90FB45" w14:textId="77777777" w:rsidR="004F3C11" w:rsidRDefault="00000000">
      <w:pPr>
        <w:spacing w:before="100" w:after="120"/>
        <w:jc w:val="both"/>
        <w:rPr>
          <w:rFonts w:ascii="Arial" w:eastAsia="Arial" w:hAnsi="Arial" w:cs="Arial"/>
          <w:sz w:val="24"/>
          <w:szCs w:val="24"/>
        </w:rPr>
      </w:pPr>
      <w:r>
        <w:rPr>
          <w:rFonts w:ascii="Arial" w:eastAsia="Arial" w:hAnsi="Arial" w:cs="Arial"/>
          <w:b/>
          <w:bCs/>
          <w:sz w:val="24"/>
          <w:szCs w:val="24"/>
        </w:rPr>
        <w:t>Pure disciplinary oversight</w:t>
      </w:r>
      <w:r>
        <w:rPr>
          <w:rFonts w:ascii="Arial" w:eastAsia="Arial" w:hAnsi="Arial" w:cs="Arial"/>
          <w:sz w:val="24"/>
          <w:szCs w:val="24"/>
        </w:rPr>
        <w:t xml:space="preserve"> is the most charitable remaining explanation. It still fails. The disciplines that routinely measure ground-borne vibration — seismic engineering, railway vibration assessment, quarry blast monitoring, building isolation design — were well known to the acoustic engineers who wrote the standards. The crossover was not made because it was not sought.</w:t>
      </w:r>
    </w:p>
    <w:p w14:paraId="0A3205CC" w14:textId="07745DA0" w:rsidR="00AB6566" w:rsidRDefault="00AB6566">
      <w:pPr>
        <w:spacing w:before="100" w:after="120"/>
        <w:jc w:val="both"/>
        <w:rPr>
          <w:rFonts w:ascii="Arial" w:eastAsia="Arial" w:hAnsi="Arial" w:cs="Arial"/>
          <w:b/>
          <w:bCs/>
          <w:sz w:val="24"/>
          <w:szCs w:val="24"/>
        </w:rPr>
      </w:pPr>
      <w:r>
        <w:rPr>
          <w:rFonts w:ascii="Arial" w:eastAsia="Arial" w:hAnsi="Arial" w:cs="Arial"/>
          <w:b/>
          <w:bCs/>
          <w:sz w:val="24"/>
          <w:szCs w:val="24"/>
        </w:rPr>
        <w:t>Birds are disoriented by infrasound.</w:t>
      </w:r>
    </w:p>
    <w:p w14:paraId="1D5142CF" w14:textId="6C95D31B" w:rsidR="00E277A9" w:rsidRPr="00B000AB" w:rsidRDefault="00E277A9">
      <w:pPr>
        <w:spacing w:before="100" w:after="120"/>
        <w:jc w:val="both"/>
        <w:rPr>
          <w:rFonts w:ascii="Arial" w:hAnsi="Arial" w:cs="Arial"/>
          <w:sz w:val="24"/>
          <w:szCs w:val="24"/>
        </w:rPr>
      </w:pPr>
      <w:r>
        <w:rPr>
          <w:rFonts w:ascii="Arial" w:hAnsi="Arial" w:cs="Arial"/>
          <w:sz w:val="24"/>
          <w:szCs w:val="24"/>
        </w:rPr>
        <w:t xml:space="preserve">The disorientation of avian fauna by infrasound and near-infrasound energy fields produced by utility-scale wind turbines represents a documented bioacoustic phenomenon that was available to regulators at the time major noise standards were drafted. Birds, particularly migratory species, utilize low-frequency acoustic cues in the range of 0.1 to 10 Hz for spatial orientation, navigation, and hazard avoidance — a capacity documented in peer-reviewed ornithological literature from the 1970s onward. Blade-pass frequency and its harmonics from utility-scale turbines fall squarely within this range. A bird navigating within the infrasound field of an operating turbine does not perceive the structure as a physical hazard; its orientation system is corrupted by a competing acoustic reference, producing directed flight toward the source. Post-mortem forensic analysis of turbine-related avian fatalities is consistent with this mechanism — impact trajectories and injury patterns correspond to controlled flight into structure, not passive interception by a rotating blade. The regulatory and environmental impact literature, however, has consistently framed turbine-related bird mortality as a blade-strike problem, directing mitigation toward rotor visibility, shutdown protocols, and siting buffers — all of which address the terminal event while ignoring the causal mechanism. The bioacoustic basis for avian disorientation in low-frequency energy fields was not unknown at the time standards were written. It was not evaluated, not referenced, and not excluded on technical grounds. It was absent so the Californian smelt has protection the Bald Eagle has none </w:t>
      </w:r>
    </w:p>
    <w:p w14:paraId="480442AF" w14:textId="77777777" w:rsidR="004F3C11" w:rsidRDefault="00000000">
      <w:pPr>
        <w:spacing w:before="120" w:after="160"/>
        <w:jc w:val="both"/>
      </w:pPr>
      <w:r>
        <w:rPr>
          <w:rFonts w:ascii="Arial" w:eastAsia="Arial" w:hAnsi="Arial" w:cs="Arial"/>
          <w:b/>
          <w:bCs/>
          <w:sz w:val="24"/>
          <w:szCs w:val="24"/>
        </w:rPr>
        <w:t>When every innocent explanation is eliminated, what remains is regulatory design.</w:t>
      </w:r>
    </w:p>
    <w:p w14:paraId="667F0B63" w14:textId="77777777" w:rsidR="004F3C11" w:rsidRDefault="00000000">
      <w:pPr>
        <w:spacing w:before="120" w:after="160"/>
        <w:jc w:val="both"/>
      </w:pPr>
      <w:r>
        <w:rPr>
          <w:rFonts w:ascii="Arial" w:eastAsia="Arial" w:hAnsi="Arial" w:cs="Arial"/>
          <w:sz w:val="24"/>
          <w:szCs w:val="24"/>
        </w:rPr>
        <w:t>The framework was constructed to assess airborne sound because airborne sound assessment reliably produces numbers that support project approval. The experts selected to write the standards came from disciplines whose tools generate those numbers. The scope was deliberately limited to pathways that would not obstruct deployment. The standard was then used to produce compliant measurements, defend against complaints, and resist revision — because revision would require acknowledging what the framework had always excluded.</w:t>
      </w:r>
    </w:p>
    <w:p w14:paraId="32E4D0AC" w14:textId="6F33646E" w:rsidR="004F3C11" w:rsidRDefault="00000000">
      <w:pPr>
        <w:spacing w:before="120" w:after="160"/>
        <w:jc w:val="both"/>
      </w:pPr>
      <w:r>
        <w:rPr>
          <w:rFonts w:ascii="Arial" w:eastAsia="Arial" w:hAnsi="Arial" w:cs="Arial"/>
          <w:sz w:val="24"/>
          <w:szCs w:val="24"/>
        </w:rPr>
        <w:lastRenderedPageBreak/>
        <w:t>This is not a conspiracy in the sense of a secret agreement. It is the predictable institutional outcome when commercial, political, and professional incentives align around a particular result. The wind and Green Energy industry needed approvals. Governments needed renewable targets. Acoustic consultants needed contracts. The standard that emerged served all three. Residents, birds, and fisheries were not in the room when it was written.</w:t>
      </w:r>
    </w:p>
    <w:p w14:paraId="0F262C0E" w14:textId="77777777" w:rsidR="004F3C11" w:rsidRDefault="00000000">
      <w:pPr>
        <w:spacing w:before="120" w:after="120"/>
        <w:jc w:val="both"/>
      </w:pPr>
      <w:r>
        <w:rPr>
          <w:rFonts w:ascii="Arial" w:eastAsia="Arial" w:hAnsi="Arial" w:cs="Arial"/>
          <w:sz w:val="24"/>
          <w:szCs w:val="24"/>
        </w:rPr>
        <w:t>This design is evidenced by five independent features:</w:t>
      </w:r>
    </w:p>
    <w:p w14:paraId="4674D932" w14:textId="77777777" w:rsidR="004F3C11" w:rsidRDefault="00000000">
      <w:pPr>
        <w:numPr>
          <w:ilvl w:val="0"/>
          <w:numId w:val="2"/>
        </w:numPr>
        <w:spacing w:before="80" w:after="80"/>
      </w:pPr>
      <w:r>
        <w:rPr>
          <w:rFonts w:ascii="Arial" w:eastAsia="Arial" w:hAnsi="Arial" w:cs="Arial"/>
          <w:b/>
          <w:bCs/>
          <w:sz w:val="24"/>
          <w:szCs w:val="24"/>
        </w:rPr>
        <w:t>Universality</w:t>
      </w:r>
      <w:r>
        <w:rPr>
          <w:rFonts w:ascii="Arial" w:eastAsia="Arial" w:hAnsi="Arial" w:cs="Arial"/>
          <w:sz w:val="24"/>
          <w:szCs w:val="24"/>
        </w:rPr>
        <w:t xml:space="preserve"> — Every major jurisdiction adopted substantially the same airborne-only framework independently.</w:t>
      </w:r>
    </w:p>
    <w:p w14:paraId="0BBD3147" w14:textId="77777777" w:rsidR="004F3C11" w:rsidRDefault="00000000">
      <w:pPr>
        <w:numPr>
          <w:ilvl w:val="0"/>
          <w:numId w:val="2"/>
        </w:numPr>
        <w:spacing w:before="80" w:after="80"/>
      </w:pPr>
      <w:r>
        <w:rPr>
          <w:rFonts w:ascii="Arial" w:eastAsia="Arial" w:hAnsi="Arial" w:cs="Arial"/>
          <w:b/>
          <w:bCs/>
          <w:sz w:val="24"/>
          <w:szCs w:val="24"/>
        </w:rPr>
        <w:t>Completeness of exclusion</w:t>
      </w:r>
      <w:r>
        <w:rPr>
          <w:rFonts w:ascii="Arial" w:eastAsia="Arial" w:hAnsi="Arial" w:cs="Arial"/>
          <w:sz w:val="24"/>
          <w:szCs w:val="24"/>
        </w:rPr>
        <w:t xml:space="preserve"> — Not one relevant discipline (structural dynamics, seismology, geotechnical engineering) was incorporated anywhere.</w:t>
      </w:r>
    </w:p>
    <w:p w14:paraId="741829A9" w14:textId="77777777" w:rsidR="004F3C11" w:rsidRDefault="00000000">
      <w:pPr>
        <w:numPr>
          <w:ilvl w:val="0"/>
          <w:numId w:val="2"/>
        </w:numPr>
        <w:spacing w:before="80" w:after="80"/>
      </w:pPr>
      <w:r>
        <w:rPr>
          <w:rFonts w:ascii="Arial" w:eastAsia="Arial" w:hAnsi="Arial" w:cs="Arial"/>
          <w:b/>
          <w:bCs/>
          <w:sz w:val="24"/>
          <w:szCs w:val="24"/>
        </w:rPr>
        <w:t>Absence of record</w:t>
      </w:r>
      <w:r>
        <w:rPr>
          <w:rFonts w:ascii="Arial" w:eastAsia="Arial" w:hAnsi="Arial" w:cs="Arial"/>
          <w:sz w:val="24"/>
          <w:szCs w:val="24"/>
        </w:rPr>
        <w:t xml:space="preserve"> — No documentation anywhere that the excluded pathways were ever seriously considered.</w:t>
      </w:r>
    </w:p>
    <w:p w14:paraId="5E03336D" w14:textId="77777777" w:rsidR="004F3C11" w:rsidRDefault="00000000">
      <w:pPr>
        <w:numPr>
          <w:ilvl w:val="0"/>
          <w:numId w:val="2"/>
        </w:numPr>
        <w:spacing w:before="80" w:after="80"/>
      </w:pPr>
      <w:r>
        <w:rPr>
          <w:rFonts w:ascii="Arial" w:eastAsia="Arial" w:hAnsi="Arial" w:cs="Arial"/>
          <w:b/>
          <w:bCs/>
          <w:sz w:val="24"/>
          <w:szCs w:val="24"/>
        </w:rPr>
        <w:t>Persistence under pressure</w:t>
      </w:r>
      <w:r>
        <w:rPr>
          <w:rFonts w:ascii="Arial" w:eastAsia="Arial" w:hAnsi="Arial" w:cs="Arial"/>
          <w:sz w:val="24"/>
          <w:szCs w:val="24"/>
        </w:rPr>
        <w:t xml:space="preserve"> — The framework has been actively defended for thirty years against a complaint record it cannot explain.</w:t>
      </w:r>
    </w:p>
    <w:p w14:paraId="3BD8C054" w14:textId="61830DAA" w:rsidR="004F3C11" w:rsidRDefault="00000000">
      <w:pPr>
        <w:numPr>
          <w:ilvl w:val="0"/>
          <w:numId w:val="2"/>
        </w:numPr>
        <w:spacing w:before="80" w:after="160"/>
      </w:pPr>
      <w:r>
        <w:rPr>
          <w:rFonts w:ascii="Arial" w:eastAsia="Arial" w:hAnsi="Arial" w:cs="Arial"/>
          <w:b/>
          <w:bCs/>
          <w:sz w:val="24"/>
          <w:szCs w:val="24"/>
        </w:rPr>
        <w:t>Commercial alignment</w:t>
      </w:r>
      <w:r>
        <w:rPr>
          <w:rFonts w:ascii="Arial" w:eastAsia="Arial" w:hAnsi="Arial" w:cs="Arial"/>
          <w:sz w:val="24"/>
          <w:szCs w:val="24"/>
        </w:rPr>
        <w:t xml:space="preserve"> — The standard consistently produces results favorable to the industry that funds the compliance assessments.</w:t>
      </w:r>
    </w:p>
    <w:p w14:paraId="0557274B" w14:textId="77777777" w:rsidR="004F3C11" w:rsidRDefault="00000000">
      <w:pPr>
        <w:pBdr>
          <w:left w:val="single" w:sz="12" w:space="12" w:color="1579B5"/>
        </w:pBdr>
        <w:spacing w:before="160" w:after="160"/>
        <w:ind w:left="360"/>
        <w:jc w:val="both"/>
      </w:pPr>
      <w:r>
        <w:rPr>
          <w:rFonts w:ascii="Arial" w:eastAsia="Arial" w:hAnsi="Arial" w:cs="Arial"/>
          <w:b/>
          <w:bCs/>
          <w:color w:val="1A3843"/>
          <w:sz w:val="24"/>
          <w:szCs w:val="24"/>
        </w:rPr>
        <w:t>Each of these features might individually be explained by oversight. All five together cannot be. A regulatory system that simultaneously exhibits universality, completeness of exclusion, absence of any deliberative record, thirty years of resistance to revision, and perfect commercial alignment was not the product of accident. It was engineered to deliver compliance, not to assess harm.</w:t>
      </w:r>
    </w:p>
    <w:p w14:paraId="7B8B1460" w14:textId="77777777" w:rsidR="004F3C11" w:rsidRDefault="004F3C11">
      <w:pPr>
        <w:spacing w:before="100" w:after="100"/>
      </w:pPr>
    </w:p>
    <w:p w14:paraId="2199A68E" w14:textId="77777777" w:rsidR="004F3C11" w:rsidRDefault="00000000">
      <w:pPr>
        <w:pBdr>
          <w:bottom w:val="single" w:sz="6" w:space="4" w:color="1579B5"/>
        </w:pBdr>
        <w:spacing w:before="360" w:after="160"/>
      </w:pPr>
      <w:r>
        <w:rPr>
          <w:rFonts w:ascii="Arial" w:eastAsia="Arial" w:hAnsi="Arial" w:cs="Arial"/>
          <w:b/>
          <w:bCs/>
          <w:color w:val="1A3843"/>
          <w:sz w:val="28"/>
          <w:szCs w:val="28"/>
        </w:rPr>
        <w:t>The Science: What Peer-Reviewed Research Has Established</w:t>
      </w:r>
    </w:p>
    <w:p w14:paraId="1E975CD8" w14:textId="77777777" w:rsidR="004F3C11" w:rsidRDefault="00000000">
      <w:pPr>
        <w:spacing w:before="120" w:after="160"/>
        <w:jc w:val="both"/>
      </w:pPr>
      <w:r>
        <w:rPr>
          <w:rFonts w:ascii="Arial" w:eastAsia="Arial" w:hAnsi="Arial" w:cs="Arial"/>
          <w:sz w:val="24"/>
          <w:szCs w:val="24"/>
        </w:rPr>
        <w:t>The mechanism is sympathetic vibration, and the science behind it is not in dispute:</w:t>
      </w:r>
    </w:p>
    <w:p w14:paraId="2FD19A58" w14:textId="77777777" w:rsidR="004F3C11" w:rsidRDefault="00000000">
      <w:pPr>
        <w:pStyle w:val="ListParagraph"/>
        <w:numPr>
          <w:ilvl w:val="0"/>
          <w:numId w:val="2"/>
        </w:numPr>
        <w:spacing w:before="80" w:after="80"/>
      </w:pPr>
      <w:r>
        <w:rPr>
          <w:rFonts w:ascii="Arial" w:eastAsia="Arial" w:hAnsi="Arial" w:cs="Arial"/>
          <w:sz w:val="24"/>
          <w:szCs w:val="24"/>
        </w:rPr>
        <w:t>Wind turbine infrasound enters building structures through their foundations. Once inside, it excites the structure at the building’s own natural resonant frequencies. The building then re-radiates energy across a broad range of frequencies — well above the original infrasound input — as audible sound and tactile vibration throughout the interior. The nodes produced by this sympathetic resonance are determined by the geometry and materials of that specific building, not by the input frequency alone. This is why the effects are not limited to infrasound: the building itself becomes the source of a wide spectrum of noise and vibration experienced by its occupants.</w:t>
      </w:r>
    </w:p>
    <w:p w14:paraId="171AED93" w14:textId="16CE304A" w:rsidR="004F3C11" w:rsidRDefault="00000000">
      <w:pPr>
        <w:pBdr>
          <w:left w:val="single" w:sz="12" w:space="12" w:color="1579B5"/>
        </w:pBdr>
        <w:spacing w:before="200" w:after="120"/>
        <w:ind w:left="360"/>
        <w:jc w:val="both"/>
      </w:pPr>
      <w:r>
        <w:rPr>
          <w:rFonts w:ascii="Arial" w:eastAsia="Arial" w:hAnsi="Arial" w:cs="Arial"/>
          <w:b/>
          <w:bCs/>
          <w:color w:val="1A3843"/>
          <w:sz w:val="24"/>
          <w:szCs w:val="24"/>
        </w:rPr>
        <w:t>Consider two houses. Same turbine. Same distance. Within noise limits.</w:t>
      </w:r>
    </w:p>
    <w:p w14:paraId="7F18DE70" w14:textId="77777777" w:rsidR="004F3C11" w:rsidRDefault="00000000">
      <w:pPr>
        <w:pBdr>
          <w:left w:val="single" w:sz="12" w:space="12" w:color="1579B5"/>
        </w:pBdr>
        <w:spacing w:before="80" w:after="80"/>
        <w:ind w:left="360"/>
        <w:jc w:val="both"/>
      </w:pPr>
      <w:r>
        <w:rPr>
          <w:rFonts w:ascii="Arial" w:eastAsia="Arial" w:hAnsi="Arial" w:cs="Arial"/>
          <w:sz w:val="24"/>
          <w:szCs w:val="24"/>
        </w:rPr>
        <w:t>House A: the family sleeps normally. No complaints.</w:t>
      </w:r>
    </w:p>
    <w:p w14:paraId="781A7E2C" w14:textId="77777777" w:rsidR="004F3C11" w:rsidRDefault="00000000">
      <w:pPr>
        <w:pBdr>
          <w:left w:val="single" w:sz="12" w:space="12" w:color="1579B5"/>
        </w:pBdr>
        <w:spacing w:before="80" w:after="80"/>
        <w:ind w:left="360"/>
        <w:jc w:val="both"/>
      </w:pPr>
      <w:r>
        <w:rPr>
          <w:rFonts w:ascii="Arial" w:eastAsia="Arial" w:hAnsi="Arial" w:cs="Arial"/>
          <w:sz w:val="24"/>
          <w:szCs w:val="24"/>
        </w:rPr>
        <w:lastRenderedPageBreak/>
        <w:t>House B: the family cannot sleep, cannot sell, cannot get the regulator to act. Their walls vibrate. Their health is deteriorating. The compliance certificate says there is no problem.</w:t>
      </w:r>
    </w:p>
    <w:p w14:paraId="2B675832" w14:textId="77777777" w:rsidR="004F3C11" w:rsidRDefault="00000000">
      <w:pPr>
        <w:pBdr>
          <w:left w:val="single" w:sz="12" w:space="12" w:color="1579B5"/>
        </w:pBdr>
        <w:spacing w:before="80" w:after="120"/>
        <w:ind w:left="360"/>
        <w:jc w:val="both"/>
      </w:pPr>
      <w:r>
        <w:rPr>
          <w:rFonts w:ascii="Arial" w:eastAsia="Arial" w:hAnsi="Arial" w:cs="Arial"/>
          <w:b/>
          <w:bCs/>
          <w:color w:val="1A3843"/>
          <w:sz w:val="24"/>
          <w:szCs w:val="24"/>
        </w:rPr>
        <w:t>The current regulatory framework has no explanation for this. Ground-borne sympathetic resonance explains it exactly.</w:t>
      </w:r>
    </w:p>
    <w:p w14:paraId="36AF3388" w14:textId="77777777" w:rsidR="004F3C11" w:rsidRDefault="00000000">
      <w:pPr>
        <w:spacing w:before="200" w:after="60"/>
        <w:jc w:val="center"/>
      </w:pPr>
      <w:r>
        <w:rPr>
          <w:noProof/>
        </w:rPr>
        <w:drawing>
          <wp:inline distT="0" distB="0" distL="0" distR="0" wp14:anchorId="6916707C" wp14:editId="1CE63E82">
            <wp:extent cx="5486400" cy="3813242"/>
            <wp:effectExtent l="0" t="0" r="0" b="0"/>
            <wp:docPr id="202" name="img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g202"/>
                    <pic:cNvPicPr>
                      <a:picLocks noChangeAspect="1" noChangeArrowheads="1"/>
                    </pic:cNvPicPr>
                  </pic:nvPicPr>
                  <pic:blipFill>
                    <a:blip r:embed="rId8"/>
                    <a:stretch>
                      <a:fillRect/>
                    </a:stretch>
                  </pic:blipFill>
                  <pic:spPr bwMode="auto">
                    <a:xfrm>
                      <a:off x="0" y="0"/>
                      <a:ext cx="5486400" cy="3813242"/>
                    </a:xfrm>
                    <a:prstGeom prst="rect">
                      <a:avLst/>
                    </a:prstGeom>
                    <a:noFill/>
                  </pic:spPr>
                </pic:pic>
              </a:graphicData>
            </a:graphic>
          </wp:inline>
        </w:drawing>
      </w:r>
    </w:p>
    <w:p w14:paraId="7A58B92D" w14:textId="77777777" w:rsidR="004F3C11" w:rsidRDefault="00000000">
      <w:pPr>
        <w:spacing w:before="40" w:after="160"/>
        <w:jc w:val="center"/>
      </w:pPr>
      <w:r>
        <w:rPr>
          <w:rFonts w:ascii="Arial" w:eastAsia="Arial" w:hAnsi="Arial" w:cs="Arial"/>
          <w:i/>
          <w:iCs/>
          <w:color w:val="A4ABB1"/>
          <w:sz w:val="18"/>
          <w:szCs w:val="18"/>
        </w:rPr>
        <w:t>Same turbine. Same distance. Both within noise limits. House 1: unaffected. House 2: walls vibrate, family cannot sleep, property value destroyed. The compliance certificate shows green for both. Structural resonance explains the difference exactly. The regulatory framework cannot.</w:t>
      </w:r>
    </w:p>
    <w:p w14:paraId="38C4EC35" w14:textId="77777777" w:rsidR="004F3C11" w:rsidRDefault="00000000">
      <w:pPr>
        <w:spacing w:before="120" w:after="160"/>
        <w:jc w:val="both"/>
      </w:pPr>
      <w:r>
        <w:rPr>
          <w:rFonts w:ascii="Arial" w:eastAsia="Arial" w:hAnsi="Arial" w:cs="Arial"/>
          <w:sz w:val="24"/>
          <w:szCs w:val="24"/>
        </w:rPr>
        <w:t>Each building has its own natural resonant frequencies — set by its foundation type, floor spans, wall heights, and construction materials. Each sits on its own geology, which determines what ground vibration reaches its foundation and at what frequencies. House B’s structure happens to resonate at the blade-pass frequency or one of its harmonics. It amplifies the signal. House A does not resonate at those frequencies. It is unaffected. Both are compliant. One family is destroyed. The measurement tool cannot see the difference because it is not measuring the mechanism.</w:t>
      </w:r>
    </w:p>
    <w:p w14:paraId="75A686A4" w14:textId="7FD44DE5" w:rsidR="004F3C11" w:rsidRDefault="00000000">
      <w:pPr>
        <w:pStyle w:val="ListParagraph"/>
        <w:numPr>
          <w:ilvl w:val="0"/>
          <w:numId w:val="2"/>
        </w:numPr>
        <w:spacing w:before="80" w:after="80"/>
      </w:pPr>
      <w:r>
        <w:rPr>
          <w:rFonts w:ascii="Arial" w:eastAsia="Arial" w:hAnsi="Arial" w:cs="Arial"/>
          <w:sz w:val="24"/>
          <w:szCs w:val="24"/>
        </w:rPr>
        <w:t xml:space="preserve">A-weighted airborne measurement at the property boundary cannot detect any part of this chain. It does not measure ground vibration. It does not measure foundation excitation. It does not measure structural resonance. It does not measure the broad-spectrum interior noise that sympathetic vibration produces. Every link in the actual harm pathway is invisible to the measurement tool that regulators require. All arguments and legal challenges  are limited to air borne noise levels </w:t>
      </w:r>
    </w:p>
    <w:p w14:paraId="1088362B" w14:textId="77777777" w:rsidR="004F3C11" w:rsidRDefault="00000000">
      <w:pPr>
        <w:pStyle w:val="ListParagraph"/>
        <w:numPr>
          <w:ilvl w:val="0"/>
          <w:numId w:val="2"/>
        </w:numPr>
        <w:spacing w:before="80" w:after="80"/>
      </w:pPr>
      <w:r>
        <w:rPr>
          <w:rFonts w:ascii="Arial" w:eastAsia="Arial" w:hAnsi="Arial" w:cs="Arial"/>
          <w:sz w:val="24"/>
          <w:szCs w:val="24"/>
        </w:rPr>
        <w:lastRenderedPageBreak/>
        <w:t>Separately, research at Washington University demonstrated that the inner ear responds physiologically to infrasound without conscious awareness of the stimulus — a direct pathway to physiological disturbance that also falls entirely outside A-weighted measurement. This compounds the sympathetic vibration effect rather than replacing it.</w:t>
      </w:r>
    </w:p>
    <w:p w14:paraId="5492DB5F" w14:textId="77777777" w:rsidR="004F3C11" w:rsidRDefault="004F3C11">
      <w:pPr>
        <w:spacing w:before="100" w:after="100"/>
      </w:pPr>
    </w:p>
    <w:p w14:paraId="20F6BDDB" w14:textId="77777777" w:rsidR="004F3C11" w:rsidRDefault="00000000">
      <w:pPr>
        <w:spacing w:before="120" w:after="160"/>
        <w:jc w:val="both"/>
      </w:pPr>
      <w:r>
        <w:rPr>
          <w:rFonts w:ascii="Arial" w:eastAsia="Arial" w:hAnsi="Arial" w:cs="Arial"/>
          <w:sz w:val="24"/>
          <w:szCs w:val="24"/>
        </w:rPr>
        <w:t>The World Health Organization’s 2018 Environmental Noise Guidelines specifically recommended that wind turbine noise assessment be separated from standard industrial noise frameworks because existing standards were inadequate. That recommendation has not been implemented by any U.S. federal agency.</w:t>
      </w:r>
    </w:p>
    <w:p w14:paraId="34DE3514" w14:textId="77777777" w:rsidR="004F3C11" w:rsidRDefault="004F3C11">
      <w:pPr>
        <w:spacing w:before="100" w:after="100"/>
      </w:pPr>
    </w:p>
    <w:p w14:paraId="4BA714C9" w14:textId="77777777" w:rsidR="004F3C11" w:rsidRDefault="00000000">
      <w:pPr>
        <w:pBdr>
          <w:bottom w:val="single" w:sz="6" w:space="4" w:color="1579B5"/>
        </w:pBdr>
        <w:spacing w:before="360" w:after="160"/>
      </w:pPr>
      <w:r>
        <w:rPr>
          <w:rFonts w:ascii="Arial" w:eastAsia="Arial" w:hAnsi="Arial" w:cs="Arial"/>
          <w:b/>
          <w:bCs/>
          <w:color w:val="1A3843"/>
          <w:sz w:val="28"/>
          <w:szCs w:val="28"/>
        </w:rPr>
        <w:t>The Fix: Measure What Matters</w:t>
      </w:r>
    </w:p>
    <w:p w14:paraId="63D538A9" w14:textId="77777777" w:rsidR="004F3C11" w:rsidRDefault="00000000">
      <w:pPr>
        <w:spacing w:before="120" w:after="160"/>
        <w:jc w:val="both"/>
      </w:pPr>
      <w:r>
        <w:rPr>
          <w:rFonts w:ascii="Arial" w:eastAsia="Arial" w:hAnsi="Arial" w:cs="Arial"/>
          <w:sz w:val="24"/>
          <w:szCs w:val="24"/>
        </w:rPr>
        <w:t>The solution does not require new science. The required measurement disciplines — seismology, structural dynamics, vibro-acoustics — are mature fields with established standards. They are applied routinely in other contexts. They need to be applied here.</w:t>
      </w:r>
    </w:p>
    <w:p w14:paraId="05EB9CD7" w14:textId="77777777" w:rsidR="004F3C11" w:rsidRDefault="00000000">
      <w:pPr>
        <w:spacing w:before="120" w:after="160"/>
        <w:jc w:val="both"/>
      </w:pPr>
      <w:r>
        <w:rPr>
          <w:rFonts w:ascii="Arial" w:eastAsia="Arial" w:hAnsi="Arial" w:cs="Arial"/>
          <w:sz w:val="24"/>
          <w:szCs w:val="24"/>
        </w:rPr>
        <w:t>A complete wind turbine impact assessment must include:</w:t>
      </w:r>
    </w:p>
    <w:p w14:paraId="3AEC97BB" w14:textId="77777777" w:rsidR="004F3C11" w:rsidRDefault="00000000">
      <w:pPr>
        <w:pStyle w:val="ListParagraph"/>
        <w:numPr>
          <w:ilvl w:val="0"/>
          <w:numId w:val="2"/>
        </w:numPr>
        <w:spacing w:before="80" w:after="80"/>
      </w:pPr>
      <w:r>
        <w:rPr>
          <w:rFonts w:ascii="Arial" w:eastAsia="Arial" w:hAnsi="Arial" w:cs="Arial"/>
          <w:sz w:val="24"/>
          <w:szCs w:val="24"/>
        </w:rPr>
        <w:t>Ground vibration measurement at the turbine foundation to establish the source signature</w:t>
      </w:r>
    </w:p>
    <w:p w14:paraId="2185C08B" w14:textId="77777777" w:rsidR="004F3C11" w:rsidRDefault="00000000">
      <w:pPr>
        <w:pStyle w:val="ListParagraph"/>
        <w:numPr>
          <w:ilvl w:val="0"/>
          <w:numId w:val="2"/>
        </w:numPr>
        <w:spacing w:before="80" w:after="80"/>
      </w:pPr>
      <w:r>
        <w:rPr>
          <w:rFonts w:ascii="Arial" w:eastAsia="Arial" w:hAnsi="Arial" w:cs="Arial"/>
          <w:sz w:val="24"/>
          <w:szCs w:val="24"/>
        </w:rPr>
        <w:t>Ground propagation measurement through the geology between turbine and receptor properties</w:t>
      </w:r>
    </w:p>
    <w:p w14:paraId="233865A5" w14:textId="77777777" w:rsidR="004F3C11" w:rsidRDefault="00000000">
      <w:pPr>
        <w:pStyle w:val="ListParagraph"/>
        <w:numPr>
          <w:ilvl w:val="0"/>
          <w:numId w:val="2"/>
        </w:numPr>
        <w:spacing w:before="80" w:after="80"/>
      </w:pPr>
      <w:r>
        <w:rPr>
          <w:rFonts w:ascii="Arial" w:eastAsia="Arial" w:hAnsi="Arial" w:cs="Arial"/>
          <w:sz w:val="24"/>
          <w:szCs w:val="24"/>
        </w:rPr>
        <w:t>Building foundation vibration measurement to determine what actually enters affected homes</w:t>
      </w:r>
    </w:p>
    <w:p w14:paraId="45A039EA" w14:textId="77777777" w:rsidR="004F3C11" w:rsidRDefault="00000000">
      <w:pPr>
        <w:pStyle w:val="ListParagraph"/>
        <w:numPr>
          <w:ilvl w:val="0"/>
          <w:numId w:val="2"/>
        </w:numPr>
        <w:spacing w:before="80" w:after="80"/>
      </w:pPr>
      <w:r>
        <w:rPr>
          <w:rFonts w:ascii="Arial" w:eastAsia="Arial" w:hAnsi="Arial" w:cs="Arial"/>
          <w:sz w:val="24"/>
          <w:szCs w:val="24"/>
        </w:rPr>
        <w:t>Structural response analysis to identify resonant conditions in specific buildings</w:t>
      </w:r>
    </w:p>
    <w:p w14:paraId="2EDAB115" w14:textId="77777777" w:rsidR="004F3C11" w:rsidRDefault="00000000">
      <w:pPr>
        <w:pStyle w:val="ListParagraph"/>
        <w:numPr>
          <w:ilvl w:val="0"/>
          <w:numId w:val="2"/>
        </w:numPr>
        <w:spacing w:before="80" w:after="80"/>
      </w:pPr>
      <w:r>
        <w:rPr>
          <w:rFonts w:ascii="Arial" w:eastAsia="Arial" w:hAnsi="Arial" w:cs="Arial"/>
          <w:sz w:val="24"/>
          <w:szCs w:val="24"/>
        </w:rPr>
        <w:t>Coherence analysis to mathematically prove that what is measured in the home originated at the turbine</w:t>
      </w:r>
    </w:p>
    <w:p w14:paraId="16C83BC3" w14:textId="77777777" w:rsidR="004F3C11" w:rsidRDefault="004F3C11">
      <w:pPr>
        <w:spacing w:before="100" w:after="100"/>
      </w:pPr>
    </w:p>
    <w:p w14:paraId="1AA9661C" w14:textId="77777777" w:rsidR="004F3C11" w:rsidRDefault="00000000">
      <w:pPr>
        <w:spacing w:before="120" w:after="160"/>
        <w:jc w:val="both"/>
      </w:pPr>
      <w:r>
        <w:rPr>
          <w:rFonts w:ascii="Arial" w:eastAsia="Arial" w:hAnsi="Arial" w:cs="Arial"/>
          <w:sz w:val="24"/>
          <w:szCs w:val="24"/>
        </w:rPr>
        <w:t>This is the standard applied to railway vibration impact. It is the standard applied to quarry blast vibration. There is no scientific justification for applying a lower standard to wind turbines.</w:t>
      </w:r>
    </w:p>
    <w:p w14:paraId="6FBEF179" w14:textId="77777777" w:rsidR="004F3C11" w:rsidRDefault="004F3C11">
      <w:pPr>
        <w:spacing w:before="100" w:after="100"/>
      </w:pPr>
    </w:p>
    <w:p w14:paraId="0B429CBB" w14:textId="77777777" w:rsidR="004F3C11" w:rsidRDefault="00000000">
      <w:pPr>
        <w:pBdr>
          <w:bottom w:val="single" w:sz="6" w:space="4" w:color="1579B5"/>
        </w:pBdr>
        <w:spacing w:before="360" w:after="160"/>
      </w:pPr>
      <w:r>
        <w:rPr>
          <w:rFonts w:ascii="Arial" w:eastAsia="Arial" w:hAnsi="Arial" w:cs="Arial"/>
          <w:b/>
          <w:bCs/>
          <w:color w:val="1A3843"/>
          <w:sz w:val="28"/>
          <w:szCs w:val="28"/>
        </w:rPr>
        <w:t>What We Are Asking</w:t>
      </w:r>
    </w:p>
    <w:p w14:paraId="15836975" w14:textId="77777777" w:rsidR="004F3C11" w:rsidRDefault="00000000">
      <w:pPr>
        <w:spacing w:before="120" w:after="160"/>
        <w:jc w:val="both"/>
      </w:pPr>
      <w:r>
        <w:rPr>
          <w:rFonts w:ascii="Arial" w:eastAsia="Arial" w:hAnsi="Arial" w:cs="Arial"/>
          <w:sz w:val="24"/>
          <w:szCs w:val="24"/>
        </w:rPr>
        <w:t>President Trump, we are asking for four things:</w:t>
      </w:r>
    </w:p>
    <w:p w14:paraId="6D7177D5" w14:textId="77777777" w:rsidR="004F3C11" w:rsidRDefault="004F3C11">
      <w:pPr>
        <w:spacing w:before="100" w:after="100"/>
      </w:pPr>
    </w:p>
    <w:p w14:paraId="350F0769" w14:textId="77777777" w:rsidR="004F3C11" w:rsidRDefault="00000000">
      <w:pPr>
        <w:spacing w:before="120" w:after="160"/>
        <w:jc w:val="both"/>
      </w:pPr>
      <w:r>
        <w:rPr>
          <w:rFonts w:ascii="Arial" w:eastAsia="Arial" w:hAnsi="Arial" w:cs="Arial"/>
          <w:b/>
          <w:bCs/>
          <w:sz w:val="24"/>
          <w:szCs w:val="24"/>
        </w:rPr>
        <w:t>1. A federal review of wind turbine noise assessment standards</w:t>
      </w:r>
      <w:r>
        <w:rPr>
          <w:rFonts w:ascii="Arial" w:eastAsia="Arial" w:hAnsi="Arial" w:cs="Arial"/>
          <w:sz w:val="24"/>
          <w:szCs w:val="24"/>
        </w:rPr>
        <w:t xml:space="preserve"> to determine whether existing frameworks address the ground-borne vibration transmission pathway. The answer is that they do not. The review will confirm this — and must result in ground </w:t>
        <w:lastRenderedPageBreak/>
        <w:t>vibration assessment becoming a mandatory component of wind turbine environmental impact review for all new and existing installations near residential areas. Science that is taught in every entry-level physics classroom has been excluded from this framework. A federal review will establish that fact on the record.</w:t>
      </w:r>
    </w:p>
    <w:p w14:paraId="1C9C29AD" w14:textId="77777777" w:rsidR="004F3C11" w:rsidRDefault="004F3C11">
      <w:pPr>
        <w:spacing w:before="100" w:after="100"/>
      </w:pPr>
    </w:p>
    <w:p w14:paraId="2DF7A638" w14:textId="77777777" w:rsidR="004F3C11" w:rsidRDefault="00000000">
      <w:pPr>
        <w:spacing w:before="120" w:after="160"/>
        <w:jc w:val="both"/>
      </w:pPr>
      <w:r>
        <w:rPr>
          <w:rFonts w:ascii="Arial" w:eastAsia="Arial" w:hAnsi="Arial" w:cs="Arial"/>
          <w:b/>
          <w:bCs/>
          <w:sz w:val="24"/>
          <w:szCs w:val="24"/>
        </w:rPr>
        <w:t>2. Equal protection for all animals — including humans.</w:t>
      </w:r>
      <w:r>
        <w:rPr>
          <w:rFonts w:ascii="Arial" w:eastAsia="Arial" w:hAnsi="Arial" w:cs="Arial"/>
          <w:sz w:val="24"/>
          <w:szCs w:val="24"/>
        </w:rPr>
        <w:t xml:space="preserve"> Birds, whales, fish, and the families living near wind turbines deserve the same regulatory protection from demonstrable harm as the endangered delta smelt in California. Wind turbine regulations currently provide more environmental scrutiny for a single species of fish than for the documented harm to birds from blade strike, fish from foundation vibration in watercourses, and humans from ground-borne structural resonance. This is not a defensible position scientifically, legally, or morally. Equal protection means equal protection.</w:t>
      </w:r>
    </w:p>
    <w:p w14:paraId="10B07A0E" w14:textId="77777777" w:rsidR="004F3C11" w:rsidRDefault="004F3C11">
      <w:pPr>
        <w:spacing w:before="100" w:after="100"/>
      </w:pPr>
    </w:p>
    <w:p w14:paraId="5D47180B" w14:textId="77777777" w:rsidR="004F3C11" w:rsidRDefault="00000000">
      <w:pPr>
        <w:spacing w:before="120" w:after="160"/>
        <w:jc w:val="both"/>
      </w:pPr>
      <w:r>
        <w:rPr>
          <w:rFonts w:ascii="Arial" w:eastAsia="Arial" w:hAnsi="Arial" w:cs="Arial"/>
          <w:b/>
          <w:bCs/>
          <w:sz w:val="24"/>
          <w:szCs w:val="24"/>
        </w:rPr>
        <w:t>3. Recognition of the health and property rights of affected families</w:t>
      </w:r>
      <w:r>
        <w:rPr>
          <w:rFonts w:ascii="Arial" w:eastAsia="Arial" w:hAnsi="Arial" w:cs="Arial"/>
          <w:sz w:val="24"/>
          <w:szCs w:val="24"/>
        </w:rPr>
        <w:t xml:space="preserve"> — Americans who have been told they are not harmed because a 1930s frequency filter applied to an air measurement at their fence line produced a compliant result, while their homes vibrate, their health deteriorates, and their property values collapse. These families have measurement data, medical records, and property valuations that document exactly what the compliance certificate refuses to acknowledge. They have been dismissed by the regulatory framework that was supposed to protect them. They deserve a remedy.</w:t>
      </w:r>
    </w:p>
    <w:p w14:paraId="0B72373D" w14:textId="77777777" w:rsidR="004F3C11" w:rsidRDefault="004F3C11">
      <w:pPr>
        <w:spacing w:before="100" w:after="100"/>
      </w:pPr>
    </w:p>
    <w:p w14:paraId="37BDDF73" w14:textId="77777777" w:rsidR="004F3C11" w:rsidRDefault="00000000">
      <w:pPr>
        <w:spacing w:before="120" w:after="160"/>
        <w:jc w:val="both"/>
      </w:pPr>
      <w:r>
        <w:rPr>
          <w:rFonts w:ascii="Arial" w:eastAsia="Arial" w:hAnsi="Arial" w:cs="Arial"/>
          <w:b/>
          <w:bCs/>
          <w:sz w:val="24"/>
          <w:szCs w:val="24"/>
        </w:rPr>
        <w:t>4. Mandate the use of established anti-vibration technology for all wind turbine installations.</w:t>
      </w:r>
      <w:r>
        <w:rPr>
          <w:rFonts w:ascii="Arial" w:eastAsia="Arial" w:hAnsi="Arial" w:cs="Arial"/>
          <w:sz w:val="24"/>
          <w:szCs w:val="24"/>
        </w:rPr>
        <w:t xml:space="preserve"> The solution already exists. Foundation anti-vibration isolation is established civil and mechanical engineering, applied as standard practice in railway construction, hospitals, precision manufacturing facilities, and concert halls. It is not experimental. It is not exotic. It is routine. The reason it has not been applied to wind turbine installations is straightforward: no regulation has ever required it. When compliance is defined by a measurement standard that cannot detect ground-borne vibration, there is no regulatory driver — and no financial incentive — for a developer to spend money solving a problem the compliance framework cannot see. The harm was preventable from the outset. The technology to prevent it existed before the first turbine was installed. Mandating its use going forward, and requiring remediation assessment for existing installations, is the logical consequence of acknowledging what the science has always shown.</w:t>
      </w:r>
    </w:p>
    <w:p w14:paraId="0A3212C7" w14:textId="4F878860" w:rsidR="004F3C11" w:rsidRDefault="009D2384">
      <w:pPr>
        <w:spacing w:before="100" w:after="100"/>
        <w:rPr>
          <w:rFonts w:ascii="Arial" w:eastAsia="Arial" w:hAnsi="Arial" w:cs="Arial"/>
          <w:b/>
          <w:bCs/>
          <w:sz w:val="24"/>
          <w:szCs w:val="24"/>
        </w:rPr>
      </w:pPr>
      <w:r>
        <w:rPr>
          <w:rFonts w:ascii="Arial" w:eastAsia="Arial" w:hAnsi="Arial" w:cs="Arial"/>
          <w:b/>
          <w:bCs/>
          <w:sz w:val="24"/>
          <w:szCs w:val="24"/>
        </w:rPr>
        <w:t>Finally, the solution is a saving, not a cost</w:t>
      </w:r>
    </w:p>
    <w:p w14:paraId="154C8341" w14:textId="705BF276" w:rsidR="00FA7038" w:rsidRPr="00C0053D" w:rsidRDefault="009D2384">
      <w:pPr>
        <w:spacing w:before="100" w:after="100"/>
        <w:rPr>
          <w:rFonts w:ascii="Arial" w:hAnsi="Arial" w:cs="Arial"/>
          <w:sz w:val="24"/>
          <w:szCs w:val="24"/>
        </w:rPr>
      </w:pPr>
      <w:r>
        <w:rPr>
          <w:rFonts w:ascii="Arial" w:hAnsi="Arial" w:cs="Arial"/>
          <w:sz w:val="24"/>
          <w:szCs w:val="24"/>
        </w:rPr>
        <w:t xml:space="preserve">The same ground-borne vibration that couples into surrounding structures and disorients wildlife is acting continuously against the turbine itself. Gearbox failures, main bearing failures, and tower fatigue cracking — the three dominant causes of unplanned wind turbine downtime — all share a common characteristic: they occur at rates and intervals that exceed what aerodynamic loading alone would predict. The shortfall is vibratory fatigue from unmanaged structural resonance. Anti-vibration isolation technology reduces this loading directly. The capital cost of a single gearbox </w:t>
        <w:lastRenderedPageBreak/>
        <w:t>replacement on a utility-scale turbine exceeds $300,000. The cost of anti-vibration isolation at the foundation is a fraction of a single maintenance event. Blade vibration also causes progressive delamination in composite blade materials, accelerating structural fatigue and driving premature blade replacement cycles. The wind industry is currently spending heavily to repair damage whose primary cause it has not measured and whose transmission pathway its own regulatory framework was not designed to detect.</w:t>
      </w:r>
    </w:p>
    <w:p w14:paraId="60265682" w14:textId="79C6F919" w:rsidR="00C0053D" w:rsidRPr="00C0053D" w:rsidRDefault="00C0053D" w:rsidP="00C0053D">
      <w:pPr>
        <w:spacing w:before="120" w:after="160"/>
        <w:jc w:val="both"/>
        <w:rPr>
          <w:rFonts w:ascii="Arial" w:eastAsia="Arial" w:hAnsi="Arial" w:cs="Arial"/>
          <w:sz w:val="24"/>
          <w:szCs w:val="24"/>
        </w:rPr>
      </w:pPr>
      <w:r>
        <w:rPr>
          <w:rFonts w:ascii="Arial" w:eastAsia="Arial" w:hAnsi="Arial" w:cs="Arial"/>
          <w:sz w:val="24"/>
          <w:szCs w:val="24"/>
        </w:rPr>
        <w:t>The current scientific and regulatory consensus claims that wind turbines cannot cause the damage I and thousands of other Americans have measured and experienced. As an AI analysis confirmed, this conclusion is based solely on the existing body of publicly available studies — studies shaped by decades of industry influence and standards deliberately limited to airborne A-weighted measurements.</w:t>
      </w:r>
    </w:p>
    <w:p w14:paraId="3C3F7418" w14:textId="77777777" w:rsidR="00C0053D" w:rsidRPr="00C0053D" w:rsidRDefault="00C0053D" w:rsidP="00C0053D">
      <w:pPr>
        <w:spacing w:before="120" w:after="160"/>
        <w:jc w:val="both"/>
        <w:rPr>
          <w:rFonts w:ascii="Arial" w:eastAsia="Arial" w:hAnsi="Arial" w:cs="Arial"/>
          <w:sz w:val="24"/>
          <w:szCs w:val="24"/>
        </w:rPr>
      </w:pPr>
      <w:r>
        <w:rPr>
          <w:rFonts w:ascii="Arial" w:eastAsia="Arial" w:hAnsi="Arial" w:cs="Arial"/>
          <w:b/>
          <w:bCs/>
          <w:sz w:val="24"/>
          <w:szCs w:val="24"/>
        </w:rPr>
        <w:t>Design of Experiments (DOE)</w:t>
      </w:r>
      <w:r>
        <w:rPr>
          <w:rFonts w:ascii="Arial" w:eastAsia="Arial" w:hAnsi="Arial" w:cs="Arial"/>
          <w:sz w:val="24"/>
          <w:szCs w:val="24"/>
        </w:rPr>
        <w:t>, the most basic and rigorous tool of Six Sigma methodology, provides the clear path forward. By testing a series of simple, falsifiable negative hypotheses — such as “these vibrations cannot be detected,” “these signatures cannot be matched to the turbine,” and “the internal noise will not drop when the turbine stops rotating” — we can definitively prove or disprove the ground-borne vibration and structural resonance mechanism, free from prior assumptions or institutional bias.</w:t>
      </w:r>
    </w:p>
    <w:p w14:paraId="69558300" w14:textId="77777777" w:rsidR="00C0053D" w:rsidRPr="00C0053D" w:rsidRDefault="00C0053D" w:rsidP="00C0053D">
      <w:pPr>
        <w:spacing w:before="120" w:after="160"/>
        <w:jc w:val="both"/>
        <w:rPr>
          <w:rFonts w:ascii="Arial" w:eastAsia="Arial" w:hAnsi="Arial" w:cs="Arial"/>
          <w:sz w:val="24"/>
          <w:szCs w:val="24"/>
        </w:rPr>
      </w:pPr>
      <w:r>
        <w:rPr>
          <w:rFonts w:ascii="Arial" w:eastAsia="Arial" w:hAnsi="Arial" w:cs="Arial"/>
          <w:sz w:val="24"/>
          <w:szCs w:val="24"/>
        </w:rPr>
        <w:t>I respectfully request that you order an independent federal review using proper Design of Experiments protocols to resolve this once and for all. Americans deserve science that measures what is actually happening in their homes — not just what the regulations were designed to see.</w:t>
      </w:r>
    </w:p>
    <w:p w14:paraId="108F7F61" w14:textId="77777777" w:rsidR="00C0053D" w:rsidRPr="00C0053D" w:rsidRDefault="00C0053D" w:rsidP="00C0053D">
      <w:pPr>
        <w:spacing w:before="120" w:after="160"/>
        <w:jc w:val="both"/>
        <w:rPr>
          <w:rFonts w:ascii="Arial" w:eastAsia="Arial" w:hAnsi="Arial" w:cs="Arial"/>
          <w:sz w:val="24"/>
          <w:szCs w:val="24"/>
        </w:rPr>
      </w:pPr>
      <w:r>
        <w:rPr>
          <w:rFonts w:ascii="Arial" w:eastAsia="Arial" w:hAnsi="Arial" w:cs="Arial"/>
          <w:sz w:val="24"/>
          <w:szCs w:val="24"/>
        </w:rPr>
        <w:t>The truth is waiting to be measured.</w:t>
      </w:r>
    </w:p>
    <w:p w14:paraId="6B25C8B9" w14:textId="77777777" w:rsidR="00FA7038" w:rsidRDefault="00FA7038">
      <w:pPr>
        <w:spacing w:before="120" w:after="160"/>
        <w:jc w:val="both"/>
        <w:rPr>
          <w:rFonts w:ascii="Arial" w:eastAsia="Arial" w:hAnsi="Arial" w:cs="Arial"/>
          <w:sz w:val="24"/>
          <w:szCs w:val="24"/>
        </w:rPr>
      </w:pPr>
    </w:p>
    <w:p w14:paraId="3E070128" w14:textId="152FF063" w:rsidR="004F3C11" w:rsidRDefault="00000000">
      <w:pPr>
        <w:spacing w:before="120" w:after="160"/>
        <w:jc w:val="both"/>
      </w:pPr>
      <w:r>
        <w:rPr>
          <w:rFonts w:ascii="Arial" w:eastAsia="Arial" w:hAnsi="Arial" w:cs="Arial"/>
          <w:sz w:val="24"/>
          <w:szCs w:val="24"/>
        </w:rPr>
        <w:t>You have the authority and the stated commitment to cut regulatory frameworks that protect industry at the expense of American citizens. Here is one. The fix is straightforward. The science is settled. The harm is real.</w:t>
      </w:r>
    </w:p>
    <w:p w14:paraId="2DC44375" w14:textId="77777777" w:rsidR="004F3C11" w:rsidRDefault="004F3C11">
      <w:pPr>
        <w:spacing w:before="100" w:after="100"/>
      </w:pPr>
    </w:p>
    <w:p w14:paraId="5D5CB6DE" w14:textId="77777777" w:rsidR="004F3C11" w:rsidRDefault="00000000">
      <w:pPr>
        <w:spacing w:before="120" w:after="160"/>
        <w:jc w:val="both"/>
      </w:pPr>
      <w:r>
        <w:rPr>
          <w:rFonts w:ascii="Arial" w:eastAsia="Arial" w:hAnsi="Arial" w:cs="Arial"/>
          <w:sz w:val="24"/>
          <w:szCs w:val="24"/>
        </w:rPr>
        <w:t>Respectfully submitted,</w:t>
      </w:r>
    </w:p>
    <w:p w14:paraId="48E05AE8" w14:textId="77777777" w:rsidR="004F3C11" w:rsidRDefault="004F3C11">
      <w:pPr>
        <w:spacing w:before="100" w:after="100"/>
      </w:pPr>
    </w:p>
    <w:p w14:paraId="620C6493" w14:textId="77777777" w:rsidR="004F3C11" w:rsidRDefault="00000000">
      <w:pPr>
        <w:spacing w:before="80" w:after="40"/>
      </w:pPr>
      <w:r>
        <w:rPr>
          <w:rFonts w:ascii="Arial" w:eastAsia="Arial" w:hAnsi="Arial" w:cs="Arial"/>
          <w:b/>
          <w:bCs/>
          <w:color w:val="1A3843"/>
          <w:sz w:val="28"/>
          <w:szCs w:val="28"/>
        </w:rPr>
        <w:t>Dave Ward</w:t>
      </w:r>
    </w:p>
    <w:p w14:paraId="107B43A1" w14:textId="77777777" w:rsidR="004F3C11" w:rsidRDefault="00000000">
      <w:pPr>
        <w:spacing w:before="120" w:after="160"/>
        <w:jc w:val="both"/>
      </w:pPr>
      <w:r>
        <w:rPr>
          <w:rFonts w:ascii="Arial" w:eastAsia="Arial" w:hAnsi="Arial" w:cs="Arial"/>
          <w:sz w:val="24"/>
          <w:szCs w:val="24"/>
        </w:rPr>
        <w:t>Inventor, Ward Effect® Technology</w:t>
      </w:r>
    </w:p>
    <w:p w14:paraId="63DE445D" w14:textId="77777777" w:rsidR="004F3C11" w:rsidRDefault="00000000">
      <w:pPr>
        <w:spacing w:before="120" w:after="160"/>
        <w:jc w:val="both"/>
      </w:pPr>
      <w:r>
        <w:rPr>
          <w:rFonts w:ascii="Arial" w:eastAsia="Arial" w:hAnsi="Arial" w:cs="Arial"/>
          <w:sz w:val="24"/>
          <w:szCs w:val="24"/>
        </w:rPr>
        <w:t>Patent Portfolio: NZ 739314, NZ 770993, NZ 778527 | USA | India | Philippines</w:t>
      </w:r>
    </w:p>
    <w:p w14:paraId="60F18B8F" w14:textId="77777777" w:rsidR="004F3C11" w:rsidRDefault="00000000">
      <w:pPr>
        <w:spacing w:before="120" w:after="160"/>
        <w:jc w:val="both"/>
      </w:pPr>
      <w:r>
        <w:rPr>
          <w:rFonts w:ascii="Arial" w:eastAsia="Arial" w:hAnsi="Arial" w:cs="Arial"/>
          <w:sz w:val="24"/>
          <w:szCs w:val="24"/>
        </w:rPr>
        <w:t>Patent Pending: NZ 831742 (Library-Configured Acoustic Sensing and Actuation System)</w:t>
      </w:r>
    </w:p>
    <w:p w14:paraId="2D83DCBE" w14:textId="77777777" w:rsidR="004F3C11" w:rsidRDefault="00000000">
      <w:pPr>
        <w:spacing w:before="120" w:after="160"/>
        <w:jc w:val="both"/>
      </w:pPr>
      <w:r>
        <w:rPr>
          <w:rFonts w:ascii="Arial" w:eastAsia="Arial" w:hAnsi="Arial" w:cs="Arial"/>
          <w:sz w:val="24"/>
          <w:szCs w:val="24"/>
        </w:rPr>
        <w:t>50+ Years Research in Acoustic Sensing and Vibration Analysis</w:t>
      </w:r>
    </w:p>
    <w:p w14:paraId="36B83F2A" w14:textId="77777777" w:rsidR="004F3C11" w:rsidRDefault="00000000">
      <w:pPr>
        <w:spacing w:before="120" w:after="160"/>
        <w:jc w:val="both"/>
      </w:pPr>
      <w:r>
        <w:rPr>
          <w:rFonts w:ascii="Arial" w:eastAsia="Arial" w:hAnsi="Arial" w:cs="Arial"/>
          <w:sz w:val="24"/>
          <w:szCs w:val="24"/>
        </w:rPr>
        <w:t>Six Sigma Black Belt</w:t>
      </w:r>
    </w:p>
    <w:p w14:paraId="555BF570" w14:textId="77777777" w:rsidR="004F3C11" w:rsidRDefault="004F3C11">
      <w:pPr>
        <w:spacing w:before="100" w:after="100"/>
      </w:pPr>
    </w:p>
    <w:p w14:paraId="43E3B8F5" w14:textId="77777777" w:rsidR="004F3C11" w:rsidRDefault="00000000">
      <w:pPr>
        <w:spacing w:before="120" w:after="160"/>
        <w:jc w:val="both"/>
      </w:pPr>
      <w:r>
        <w:rPr>
          <w:rFonts w:ascii="Arial" w:eastAsia="Arial" w:hAnsi="Arial" w:cs="Arial"/>
          <w:sz w:val="24"/>
          <w:szCs w:val="24"/>
        </w:rPr>
        <w:t>Contact: resonancesensor@gmail.com</w:t>
      </w:r>
    </w:p>
    <w:p w14:paraId="123B5EBB" w14:textId="77777777" w:rsidR="004F3C11" w:rsidRDefault="00000000">
      <w:pPr>
        <w:spacing w:before="120" w:after="160"/>
        <w:jc w:val="both"/>
      </w:pPr>
      <w:r>
        <w:rPr>
          <w:rFonts w:ascii="Arial" w:eastAsia="Arial" w:hAnsi="Arial" w:cs="Arial"/>
          <w:sz w:val="24"/>
          <w:szCs w:val="24"/>
        </w:rPr>
        <w:lastRenderedPageBreak/>
        <w:t>Technical: wardeffect.com | wardscope.com</w:t>
      </w:r>
    </w:p>
    <w:p w14:paraId="0AADE99A" w14:textId="77777777" w:rsidR="004F3C11" w:rsidRDefault="004F3C11">
      <w:pPr>
        <w:spacing w:before="100" w:after="100"/>
      </w:pPr>
    </w:p>
    <w:p w14:paraId="4CE77F3A" w14:textId="77777777" w:rsidR="004F3C11" w:rsidRDefault="00000000">
      <w:pPr>
        <w:pBdr>
          <w:top w:val="single" w:sz="4" w:space="6" w:color="A4ABB1"/>
        </w:pBdr>
        <w:spacing w:before="360" w:after="80"/>
      </w:pPr>
      <w:r>
        <w:rPr>
          <w:rFonts w:ascii="Arial" w:eastAsia="Arial" w:hAnsi="Arial" w:cs="Arial"/>
          <w:b/>
          <w:bCs/>
          <w:color w:val="1A3843"/>
        </w:rPr>
        <w:t>Distribution Note</w:t>
      </w:r>
    </w:p>
    <w:p w14:paraId="6808BC71" w14:textId="77777777" w:rsidR="004F3C11" w:rsidRDefault="00000000">
      <w:pPr>
        <w:spacing w:before="120" w:after="160"/>
        <w:jc w:val="both"/>
        <w:rPr>
          <w:rFonts w:ascii="Arial" w:eastAsia="Arial" w:hAnsi="Arial" w:cs="Arial"/>
          <w:sz w:val="24"/>
          <w:szCs w:val="24"/>
        </w:rPr>
      </w:pPr>
      <w:r>
        <w:rPr>
          <w:rFonts w:ascii="Arial" w:eastAsia="Arial" w:hAnsi="Arial" w:cs="Arial"/>
          <w:sz w:val="24"/>
          <w:szCs w:val="24"/>
        </w:rPr>
        <w:t>This open letter is being distributed simultaneously to wind turbine action groups, noise abatement organisations, and community organisations across the United States and internationally. Recipients are encouraged to forward, publish, and submit this letter to their own representatives and regulatory agencies. The accompanying technical white paper — “Wind Turbine Ground-Borne Vibration: Why A-Weighted Airborne Standards Fail to Detect the Dominant Harm Mechanism” (Ward, 2025) — available at wardeffect.com and on request — provides the full scientific basis for the statements made herein and is available on request.</w:t>
      </w:r>
    </w:p>
    <w:p w14:paraId="7BC84342" w14:textId="77777777" w:rsidR="00143226" w:rsidRDefault="00143226">
      <w:pPr>
        <w:spacing w:before="120" w:after="160"/>
        <w:jc w:val="both"/>
        <w:rPr>
          <w:rFonts w:ascii="Arial" w:eastAsia="Arial" w:hAnsi="Arial" w:cs="Arial"/>
          <w:b/>
          <w:bCs/>
          <w:sz w:val="24"/>
          <w:szCs w:val="24"/>
        </w:rPr>
      </w:pPr>
    </w:p>
    <w:p w14:paraId="5CFEDBE8" w14:textId="6322FD47" w:rsidR="00143226" w:rsidRDefault="00143226">
      <w:pPr>
        <w:spacing w:before="120" w:after="160"/>
        <w:jc w:val="both"/>
        <w:rPr>
          <w:rFonts w:ascii="Arial" w:eastAsia="Arial" w:hAnsi="Arial" w:cs="Arial"/>
          <w:b/>
          <w:bCs/>
          <w:sz w:val="32"/>
          <w:szCs w:val="32"/>
        </w:rPr>
      </w:pPr>
      <w:r>
        <w:rPr>
          <w:rFonts w:ascii="Arial" w:eastAsia="Arial" w:hAnsi="Arial" w:cs="Arial"/>
          <w:b/>
          <w:bCs/>
          <w:sz w:val="32"/>
          <w:szCs w:val="32"/>
        </w:rPr>
        <w:t xml:space="preserve">  Appendix</w:t>
      </w:r>
    </w:p>
    <w:p w14:paraId="05A9A145" w14:textId="77EEF363" w:rsidR="00246CEE" w:rsidRPr="00246CEE" w:rsidRDefault="00246CEE" w:rsidP="00246CEE">
      <w:pPr>
        <w:spacing w:before="120" w:after="160"/>
        <w:jc w:val="both"/>
        <w:rPr>
          <w:rFonts w:ascii="Arial" w:eastAsia="Arial" w:hAnsi="Arial" w:cs="Arial"/>
          <w:sz w:val="22"/>
          <w:szCs w:val="22"/>
        </w:rPr>
      </w:pPr>
      <w:r>
        <w:rPr>
          <w:rFonts w:ascii="Arial" w:eastAsia="Arial" w:hAnsi="Arial" w:cs="Arial"/>
          <w:sz w:val="22"/>
          <w:szCs w:val="22"/>
        </w:rPr>
        <w:t xml:space="preserve">A Note on Mathematical Complexity as a Defence by Wind Turbine Proponents </w:t>
      </w:r>
    </w:p>
    <w:p w14:paraId="579C7EB3" w14:textId="77777777" w:rsidR="00246CEE" w:rsidRPr="00246CEE" w:rsidRDefault="00246CEE" w:rsidP="00246CEE">
      <w:pPr>
        <w:spacing w:before="120" w:after="160"/>
        <w:jc w:val="both"/>
        <w:rPr>
          <w:rFonts w:ascii="Arial" w:eastAsia="Arial" w:hAnsi="Arial" w:cs="Arial"/>
          <w:sz w:val="22"/>
          <w:szCs w:val="22"/>
        </w:rPr>
      </w:pPr>
      <w:r>
        <w:rPr>
          <w:rFonts w:ascii="Arial" w:eastAsia="Arial" w:hAnsi="Arial" w:cs="Arial"/>
          <w:sz w:val="22"/>
          <w:szCs w:val="22"/>
        </w:rPr>
        <w:t>The standard response to ground-borne vibration claims is not denial. It is complexity. Proponents produce mathematically sophisticated models demonstrating that wind turbines cannot transmit harmful vibration to residential buildings. These models are, within their own assumptions, technically correct. The A-weighted measurement scale used throughout these calculations was selected precisely because it attenuates low-frequency energy by 26 to 60 decibels before any result is recorded. A model built on A-weighted inputs will always produce A-weighted outputs. The mathematics is not wrong. The measurement is wrong. Proving that a ruler cannot measure temperature does not require calculus. It requires asking what the ruler was designed to measure.</w:t>
      </w:r>
    </w:p>
    <w:p w14:paraId="29B5806E" w14:textId="77777777" w:rsidR="00246CEE" w:rsidRPr="00246CEE" w:rsidRDefault="00246CEE" w:rsidP="00246CEE">
      <w:pPr>
        <w:spacing w:before="120" w:after="160"/>
        <w:jc w:val="both"/>
        <w:rPr>
          <w:rFonts w:ascii="Arial" w:eastAsia="Arial" w:hAnsi="Arial" w:cs="Arial"/>
          <w:sz w:val="22"/>
          <w:szCs w:val="22"/>
        </w:rPr>
      </w:pPr>
      <w:r>
        <w:rPr>
          <w:rFonts w:ascii="Arial" w:eastAsia="Arial" w:hAnsi="Arial" w:cs="Arial"/>
          <w:sz w:val="22"/>
          <w:szCs w:val="22"/>
        </w:rPr>
        <w:t>Six Sigma does not begin with equations. It begins with a fundamental principle: measure what matters, at the location where it matters, with an instrument capable of detecting it. The five experiments below require no mathematical modelling, no frequency weighting, and no assumptions about transmission pathways. They require only that a sensor be placed on a structure, a turbine be switched on and off, and the result be recorded. The hypothesis in each case is stated in the negative — the standard scientific form that cannot be dismissed as advocacy because it explicitly invites disproof.</w:t>
      </w:r>
    </w:p>
    <w:p w14:paraId="330CC8EA" w14:textId="77777777" w:rsidR="00246CEE" w:rsidRPr="00246CEE" w:rsidRDefault="00246CEE" w:rsidP="00246CEE">
      <w:pPr>
        <w:spacing w:before="120" w:after="160"/>
        <w:jc w:val="both"/>
        <w:rPr>
          <w:rFonts w:ascii="Arial" w:eastAsia="Arial" w:hAnsi="Arial" w:cs="Arial"/>
          <w:sz w:val="22"/>
          <w:szCs w:val="22"/>
        </w:rPr>
      </w:pPr>
      <w:r>
        <w:rPr>
          <w:rFonts w:ascii="Arial" w:eastAsia="Arial" w:hAnsi="Arial" w:cs="Arial"/>
          <w:sz w:val="22"/>
          <w:szCs w:val="22"/>
        </w:rPr>
        <w:t>If the proponents are correct, every experiment below will confirm their position. If they are not, the experiments will show it. That is the only question that matters. That is what measurement is for.</w:t>
      </w:r>
    </w:p>
    <w:p w14:paraId="4EBBFC93" w14:textId="77777777" w:rsidR="00246CEE" w:rsidRPr="00143226" w:rsidRDefault="00246CEE">
      <w:pPr>
        <w:spacing w:before="120" w:after="160"/>
        <w:jc w:val="both"/>
        <w:rPr>
          <w:rFonts w:ascii="Arial" w:eastAsia="Arial" w:hAnsi="Arial" w:cs="Arial"/>
          <w:b/>
          <w:bCs/>
          <w:sz w:val="32"/>
          <w:szCs w:val="32"/>
        </w:rPr>
      </w:pPr>
    </w:p>
    <w:p w14:paraId="0EE04475" w14:textId="601837D2" w:rsidR="00143226" w:rsidRPr="00143226" w:rsidRDefault="00143226" w:rsidP="00143226">
      <w:pPr>
        <w:spacing w:before="120" w:after="160"/>
        <w:jc w:val="both"/>
        <w:rPr>
          <w:rFonts w:ascii="Arial" w:hAnsi="Arial" w:cs="Arial"/>
          <w:sz w:val="24"/>
          <w:szCs w:val="24"/>
        </w:rPr>
      </w:pPr>
      <w:r>
        <w:rPr>
          <w:rFonts w:ascii="Arial" w:hAnsi="Arial" w:cs="Arial"/>
          <w:b/>
          <w:bCs/>
          <w:sz w:val="24"/>
          <w:szCs w:val="24"/>
        </w:rPr>
        <w:t>Here is a clean, logical series of 5 Design of Experiments</w:t>
      </w:r>
      <w:r>
        <w:rPr>
          <w:rFonts w:ascii="Arial" w:hAnsi="Arial" w:cs="Arial"/>
          <w:sz w:val="24"/>
          <w:szCs w:val="24"/>
        </w:rPr>
        <w:t xml:space="preserve"> to rigorously prove or disprove the core scientific claims in my open letter.</w:t>
      </w:r>
    </w:p>
    <w:p w14:paraId="4CAF03C3" w14:textId="77777777" w:rsidR="00143226" w:rsidRPr="00143226" w:rsidRDefault="00143226" w:rsidP="00143226">
      <w:pPr>
        <w:spacing w:before="120" w:after="160"/>
        <w:jc w:val="both"/>
        <w:rPr>
          <w:rFonts w:ascii="Arial" w:hAnsi="Arial" w:cs="Arial"/>
          <w:sz w:val="24"/>
          <w:szCs w:val="24"/>
        </w:rPr>
      </w:pPr>
      <w:r>
        <w:rPr>
          <w:rFonts w:ascii="Arial" w:hAnsi="Arial" w:cs="Arial"/>
          <w:sz w:val="24"/>
          <w:szCs w:val="24"/>
        </w:rPr>
        <w:t xml:space="preserve">Each experiment is built around a clear </w:t>
      </w:r>
      <w:r>
        <w:rPr>
          <w:rFonts w:ascii="Arial" w:hAnsi="Arial" w:cs="Arial"/>
          <w:b/>
          <w:bCs/>
          <w:sz w:val="24"/>
          <w:szCs w:val="24"/>
        </w:rPr>
        <w:t>Negative Hypothesis</w:t>
      </w:r>
      <w:r>
        <w:rPr>
          <w:rFonts w:ascii="Arial" w:hAnsi="Arial" w:cs="Arial"/>
          <w:sz w:val="24"/>
          <w:szCs w:val="24"/>
        </w:rPr>
        <w:t xml:space="preserve"> (the standard scientific way to test a claim). These are minimal, sequential, and build upon each other.</w:t>
      </w:r>
    </w:p>
    <w:p w14:paraId="71301FB6" w14:textId="77777777" w:rsidR="00143226" w:rsidRPr="00143226" w:rsidRDefault="00000000" w:rsidP="00143226">
      <w:pPr>
        <w:spacing w:before="120" w:after="160"/>
        <w:jc w:val="both"/>
        <w:rPr>
          <w:rFonts w:ascii="Arial" w:hAnsi="Arial" w:cs="Arial"/>
          <w:sz w:val="24"/>
          <w:szCs w:val="24"/>
        </w:rPr>
      </w:pPr>
      <w:r>
        <w:rPr>
          <w:rFonts w:ascii="Arial" w:hAnsi="Arial" w:cs="Arial"/>
          <w:sz w:val="24"/>
          <w:szCs w:val="24"/>
        </w:rPr>
        <w:pict w14:anchorId="03074568">
          <v:rect id="_x0000_i1025" style="width:0;height:1.5pt" o:hralign="center" o:hrstd="t" o:hr="t" fillcolor="#a0a0a0" stroked="f"/>
        </w:pict>
      </w:r>
    </w:p>
    <w:p w14:paraId="5E3D7B15" w14:textId="77777777" w:rsidR="00143226" w:rsidRPr="00143226" w:rsidRDefault="00143226" w:rsidP="00143226">
      <w:pPr>
        <w:spacing w:before="120" w:after="160"/>
        <w:jc w:val="both"/>
        <w:rPr>
          <w:rFonts w:ascii="Arial" w:hAnsi="Arial" w:cs="Arial"/>
          <w:b/>
          <w:bCs/>
          <w:sz w:val="24"/>
          <w:szCs w:val="24"/>
        </w:rPr>
      </w:pPr>
      <w:r>
        <w:rPr>
          <w:rFonts w:ascii="Arial" w:hAnsi="Arial" w:cs="Arial"/>
          <w:b/>
          <w:bCs/>
          <w:sz w:val="24"/>
          <w:szCs w:val="24"/>
        </w:rPr>
        <w:t>Experiment 1: Detection</w:t>
      </w:r>
    </w:p>
    <w:p w14:paraId="77A7B91B" w14:textId="77777777" w:rsidR="00143226" w:rsidRPr="00143226" w:rsidRDefault="00143226" w:rsidP="00143226">
      <w:pPr>
        <w:spacing w:before="120" w:after="160"/>
        <w:jc w:val="both"/>
        <w:rPr>
          <w:rFonts w:ascii="Arial" w:hAnsi="Arial" w:cs="Arial"/>
          <w:sz w:val="24"/>
          <w:szCs w:val="24"/>
        </w:rPr>
      </w:pPr>
      <w:r>
        <w:rPr>
          <w:rFonts w:ascii="Arial" w:hAnsi="Arial" w:cs="Arial"/>
          <w:b/>
          <w:bCs/>
          <w:sz w:val="24"/>
          <w:szCs w:val="24"/>
        </w:rPr>
        <w:lastRenderedPageBreak/>
        <w:t>Negative Hypothesis</w:t>
      </w:r>
      <w:r>
        <w:rPr>
          <w:rFonts w:ascii="Arial" w:hAnsi="Arial" w:cs="Arial"/>
          <w:sz w:val="24"/>
          <w:szCs w:val="24"/>
        </w:rPr>
        <w:t>: Vibrations matching wind turbine blade-pass frequencies cannot be detected on fence posts or structures 5 km away using contact sensors.</w:t>
      </w:r>
    </w:p>
    <w:p w14:paraId="787530E6" w14:textId="77777777" w:rsidR="00143226" w:rsidRPr="00143226" w:rsidRDefault="00143226" w:rsidP="00143226">
      <w:pPr>
        <w:spacing w:before="120" w:after="160"/>
        <w:jc w:val="both"/>
        <w:rPr>
          <w:rFonts w:ascii="Arial" w:hAnsi="Arial" w:cs="Arial"/>
          <w:sz w:val="24"/>
          <w:szCs w:val="24"/>
        </w:rPr>
      </w:pPr>
      <w:r>
        <w:rPr>
          <w:rFonts w:ascii="Arial" w:hAnsi="Arial" w:cs="Arial"/>
          <w:b/>
          <w:bCs/>
          <w:sz w:val="24"/>
          <w:szCs w:val="24"/>
        </w:rPr>
        <w:t>Design</w:t>
      </w:r>
      <w:r>
        <w:rPr>
          <w:rFonts w:ascii="Arial" w:hAnsi="Arial" w:cs="Arial"/>
          <w:sz w:val="24"/>
          <w:szCs w:val="24"/>
        </w:rPr>
        <w:t xml:space="preserve">: One-Factor-at-a-Time (OFAT) with replications. </w:t>
      </w:r>
      <w:r>
        <w:rPr>
          <w:rFonts w:ascii="Arial" w:hAnsi="Arial" w:cs="Arial"/>
          <w:b/>
          <w:bCs/>
          <w:sz w:val="24"/>
          <w:szCs w:val="24"/>
        </w:rPr>
        <w:t>Factor</w:t>
      </w:r>
      <w:r>
        <w:rPr>
          <w:rFonts w:ascii="Arial" w:hAnsi="Arial" w:cs="Arial"/>
          <w:sz w:val="24"/>
          <w:szCs w:val="24"/>
        </w:rPr>
        <w:t xml:space="preserve">: Sensor attached to fence post (turbine on vs off). </w:t>
      </w:r>
      <w:r>
        <w:rPr>
          <w:rFonts w:ascii="Arial" w:hAnsi="Arial" w:cs="Arial"/>
          <w:b/>
          <w:bCs/>
          <w:sz w:val="24"/>
          <w:szCs w:val="24"/>
        </w:rPr>
        <w:t>Measurements</w:t>
      </w:r>
      <w:r>
        <w:rPr>
          <w:rFonts w:ascii="Arial" w:hAnsi="Arial" w:cs="Arial"/>
          <w:sz w:val="24"/>
          <w:szCs w:val="24"/>
        </w:rPr>
        <w:t xml:space="preserve">: FFT spectrum (0.1–20 Hz), presence of blade-pass harmonics. </w:t>
      </w:r>
      <w:r>
        <w:rPr>
          <w:rFonts w:ascii="Arial" w:hAnsi="Arial" w:cs="Arial"/>
          <w:b/>
          <w:bCs/>
          <w:sz w:val="24"/>
          <w:szCs w:val="24"/>
        </w:rPr>
        <w:t>Outcome</w:t>
      </w:r>
      <w:r>
        <w:rPr>
          <w:rFonts w:ascii="Arial" w:hAnsi="Arial" w:cs="Arial"/>
          <w:sz w:val="24"/>
          <w:szCs w:val="24"/>
        </w:rPr>
        <w:t>: One clear, coherent detection disproves the hypothesis.</w:t>
      </w:r>
    </w:p>
    <w:p w14:paraId="42E1DD91" w14:textId="77777777" w:rsidR="00143226" w:rsidRPr="00143226" w:rsidRDefault="00000000" w:rsidP="00143226">
      <w:pPr>
        <w:spacing w:before="120" w:after="160"/>
        <w:jc w:val="both"/>
        <w:rPr>
          <w:rFonts w:ascii="Arial" w:hAnsi="Arial" w:cs="Arial"/>
          <w:sz w:val="24"/>
          <w:szCs w:val="24"/>
        </w:rPr>
      </w:pPr>
      <w:r>
        <w:rPr>
          <w:rFonts w:ascii="Arial" w:hAnsi="Arial" w:cs="Arial"/>
          <w:sz w:val="24"/>
          <w:szCs w:val="24"/>
        </w:rPr>
        <w:pict w14:anchorId="48FE5C94">
          <v:rect id="_x0000_i1026" style="width:0;height:1.5pt" o:hralign="center" o:hrstd="t" o:hr="t" fillcolor="#a0a0a0" stroked="f"/>
        </w:pict>
      </w:r>
    </w:p>
    <w:p w14:paraId="6DFDE0CF" w14:textId="77777777" w:rsidR="00143226" w:rsidRPr="00143226" w:rsidRDefault="00143226" w:rsidP="00143226">
      <w:pPr>
        <w:spacing w:before="120" w:after="160"/>
        <w:jc w:val="both"/>
        <w:rPr>
          <w:rFonts w:ascii="Arial" w:hAnsi="Arial" w:cs="Arial"/>
          <w:b/>
          <w:bCs/>
          <w:sz w:val="24"/>
          <w:szCs w:val="24"/>
        </w:rPr>
      </w:pPr>
      <w:r>
        <w:rPr>
          <w:rFonts w:ascii="Arial" w:hAnsi="Arial" w:cs="Arial"/>
          <w:b/>
          <w:bCs/>
          <w:sz w:val="24"/>
          <w:szCs w:val="24"/>
        </w:rPr>
        <w:t>Experiment 2: Signature Matching / Coherence</w:t>
      </w:r>
    </w:p>
    <w:p w14:paraId="3FA65CEF" w14:textId="77777777" w:rsidR="00143226" w:rsidRPr="00143226" w:rsidRDefault="00143226" w:rsidP="00143226">
      <w:pPr>
        <w:spacing w:before="120" w:after="160"/>
        <w:jc w:val="both"/>
        <w:rPr>
          <w:rFonts w:ascii="Arial" w:hAnsi="Arial" w:cs="Arial"/>
          <w:sz w:val="24"/>
          <w:szCs w:val="24"/>
        </w:rPr>
      </w:pPr>
      <w:r>
        <w:rPr>
          <w:rFonts w:ascii="Arial" w:hAnsi="Arial" w:cs="Arial"/>
          <w:b/>
          <w:bCs/>
          <w:sz w:val="24"/>
          <w:szCs w:val="24"/>
        </w:rPr>
        <w:t>Negative Hypothesis</w:t>
      </w:r>
      <w:r>
        <w:rPr>
          <w:rFonts w:ascii="Arial" w:hAnsi="Arial" w:cs="Arial"/>
          <w:sz w:val="24"/>
          <w:szCs w:val="24"/>
        </w:rPr>
        <w:t>: Signature vibrations measured on a house wall or fence post cannot be matched to a specific wind turbine’s operational signature.</w:t>
      </w:r>
    </w:p>
    <w:p w14:paraId="6C4820DA" w14:textId="77777777" w:rsidR="00143226" w:rsidRPr="00143226" w:rsidRDefault="00143226" w:rsidP="00143226">
      <w:pPr>
        <w:spacing w:before="120" w:after="160"/>
        <w:jc w:val="both"/>
        <w:rPr>
          <w:rFonts w:ascii="Arial" w:hAnsi="Arial" w:cs="Arial"/>
          <w:sz w:val="24"/>
          <w:szCs w:val="24"/>
        </w:rPr>
      </w:pPr>
      <w:r>
        <w:rPr>
          <w:rFonts w:ascii="Arial" w:hAnsi="Arial" w:cs="Arial"/>
          <w:b/>
          <w:bCs/>
          <w:sz w:val="24"/>
          <w:szCs w:val="24"/>
        </w:rPr>
        <w:t>Design</w:t>
      </w:r>
      <w:r>
        <w:rPr>
          <w:rFonts w:ascii="Arial" w:hAnsi="Arial" w:cs="Arial"/>
          <w:sz w:val="24"/>
          <w:szCs w:val="24"/>
        </w:rPr>
        <w:t xml:space="preserve">: OFAT with replications. </w:t>
      </w:r>
      <w:r>
        <w:rPr>
          <w:rFonts w:ascii="Arial" w:hAnsi="Arial" w:cs="Arial"/>
          <w:b/>
          <w:bCs/>
          <w:sz w:val="24"/>
          <w:szCs w:val="24"/>
        </w:rPr>
        <w:t>Factor</w:t>
      </w:r>
      <w:r>
        <w:rPr>
          <w:rFonts w:ascii="Arial" w:hAnsi="Arial" w:cs="Arial"/>
          <w:sz w:val="24"/>
          <w:szCs w:val="24"/>
        </w:rPr>
        <w:t xml:space="preserve">: Turbine operating state (on at normal speed vs completely stopped). </w:t>
      </w:r>
      <w:r>
        <w:rPr>
          <w:rFonts w:ascii="Arial" w:hAnsi="Arial" w:cs="Arial"/>
          <w:b/>
          <w:bCs/>
          <w:sz w:val="24"/>
          <w:szCs w:val="24"/>
        </w:rPr>
        <w:t>Measurements</w:t>
      </w:r>
      <w:r>
        <w:rPr>
          <w:rFonts w:ascii="Arial" w:hAnsi="Arial" w:cs="Arial"/>
          <w:sz w:val="24"/>
          <w:szCs w:val="24"/>
        </w:rPr>
        <w:t xml:space="preserve">: Coherence analysis, cross-correlation, and harmonic matching between house/fence sensors and turbine RPM data. </w:t>
      </w:r>
      <w:r>
        <w:rPr>
          <w:rFonts w:ascii="Arial" w:hAnsi="Arial" w:cs="Arial"/>
          <w:b/>
          <w:bCs/>
          <w:sz w:val="24"/>
          <w:szCs w:val="24"/>
        </w:rPr>
        <w:t>Outcome</w:t>
      </w:r>
      <w:r>
        <w:rPr>
          <w:rFonts w:ascii="Arial" w:hAnsi="Arial" w:cs="Arial"/>
          <w:sz w:val="24"/>
          <w:szCs w:val="24"/>
        </w:rPr>
        <w:t>: Statistically significant matching of blade-pass frequency and harmonics disproves the hypothesis.</w:t>
      </w:r>
    </w:p>
    <w:p w14:paraId="262137D8" w14:textId="77777777" w:rsidR="00143226" w:rsidRPr="00143226" w:rsidRDefault="00000000" w:rsidP="00143226">
      <w:pPr>
        <w:spacing w:before="120" w:after="160"/>
        <w:jc w:val="both"/>
        <w:rPr>
          <w:rFonts w:ascii="Arial" w:hAnsi="Arial" w:cs="Arial"/>
          <w:sz w:val="24"/>
          <w:szCs w:val="24"/>
        </w:rPr>
      </w:pPr>
      <w:r>
        <w:rPr>
          <w:rFonts w:ascii="Arial" w:hAnsi="Arial" w:cs="Arial"/>
          <w:sz w:val="24"/>
          <w:szCs w:val="24"/>
        </w:rPr>
        <w:pict w14:anchorId="613283A4">
          <v:rect id="_x0000_i1027" style="width:0;height:1.5pt" o:hralign="center" o:hrstd="t" o:hr="t" fillcolor="#a0a0a0" stroked="f"/>
        </w:pict>
      </w:r>
    </w:p>
    <w:p w14:paraId="63681BA1" w14:textId="77777777" w:rsidR="00143226" w:rsidRPr="00143226" w:rsidRDefault="00143226" w:rsidP="00143226">
      <w:pPr>
        <w:spacing w:before="120" w:after="160"/>
        <w:jc w:val="both"/>
        <w:rPr>
          <w:rFonts w:ascii="Arial" w:hAnsi="Arial" w:cs="Arial"/>
          <w:b/>
          <w:bCs/>
          <w:sz w:val="24"/>
          <w:szCs w:val="24"/>
        </w:rPr>
      </w:pPr>
      <w:r>
        <w:rPr>
          <w:rFonts w:ascii="Arial" w:hAnsi="Arial" w:cs="Arial"/>
          <w:b/>
          <w:bCs/>
          <w:sz w:val="24"/>
          <w:szCs w:val="24"/>
        </w:rPr>
        <w:t>Experiment 3: Internal Amplification (Resonance)</w:t>
      </w:r>
    </w:p>
    <w:p w14:paraId="2BF8D83D" w14:textId="77777777" w:rsidR="00143226" w:rsidRPr="00143226" w:rsidRDefault="00143226" w:rsidP="00143226">
      <w:pPr>
        <w:spacing w:before="120" w:after="160"/>
        <w:jc w:val="both"/>
        <w:rPr>
          <w:rFonts w:ascii="Arial" w:hAnsi="Arial" w:cs="Arial"/>
          <w:sz w:val="24"/>
          <w:szCs w:val="24"/>
        </w:rPr>
      </w:pPr>
      <w:r>
        <w:rPr>
          <w:rFonts w:ascii="Arial" w:hAnsi="Arial" w:cs="Arial"/>
          <w:b/>
          <w:bCs/>
          <w:sz w:val="24"/>
          <w:szCs w:val="24"/>
        </w:rPr>
        <w:t>Negative Hypothesis</w:t>
      </w:r>
      <w:r>
        <w:rPr>
          <w:rFonts w:ascii="Arial" w:hAnsi="Arial" w:cs="Arial"/>
          <w:sz w:val="24"/>
          <w:szCs w:val="24"/>
        </w:rPr>
        <w:t>: High internal noise levels (e.g. 85 dB) with all power sources off cannot occur when external airborne measurement is only ~45 dB.</w:t>
      </w:r>
    </w:p>
    <w:p w14:paraId="048C7375" w14:textId="77777777" w:rsidR="00143226" w:rsidRPr="00143226" w:rsidRDefault="00143226" w:rsidP="00143226">
      <w:pPr>
        <w:spacing w:before="120" w:after="160"/>
        <w:jc w:val="both"/>
        <w:rPr>
          <w:rFonts w:ascii="Arial" w:hAnsi="Arial" w:cs="Arial"/>
          <w:sz w:val="24"/>
          <w:szCs w:val="24"/>
        </w:rPr>
      </w:pPr>
      <w:r>
        <w:rPr>
          <w:rFonts w:ascii="Arial" w:hAnsi="Arial" w:cs="Arial"/>
          <w:b/>
          <w:bCs/>
          <w:sz w:val="24"/>
          <w:szCs w:val="24"/>
        </w:rPr>
        <w:t>Design</w:t>
      </w:r>
      <w:r>
        <w:rPr>
          <w:rFonts w:ascii="Arial" w:hAnsi="Arial" w:cs="Arial"/>
          <w:sz w:val="24"/>
          <w:szCs w:val="24"/>
        </w:rPr>
        <w:t xml:space="preserve">: Simultaneous inside/outside measurement protocol. </w:t>
      </w:r>
      <w:r>
        <w:rPr>
          <w:rFonts w:ascii="Arial" w:hAnsi="Arial" w:cs="Arial"/>
          <w:b/>
          <w:bCs/>
          <w:sz w:val="24"/>
          <w:szCs w:val="24"/>
        </w:rPr>
        <w:t>Factors</w:t>
      </w:r>
      <w:r>
        <w:rPr>
          <w:rFonts w:ascii="Arial" w:hAnsi="Arial" w:cs="Arial"/>
          <w:sz w:val="24"/>
          <w:szCs w:val="24"/>
        </w:rPr>
        <w:t xml:space="preserve">: Location (inside room vs outside boundary), all internal sources confirmed off. </w:t>
      </w:r>
      <w:r>
        <w:rPr>
          <w:rFonts w:ascii="Arial" w:hAnsi="Arial" w:cs="Arial"/>
          <w:b/>
          <w:bCs/>
          <w:sz w:val="24"/>
          <w:szCs w:val="24"/>
        </w:rPr>
        <w:t>Measurements</w:t>
      </w:r>
      <w:r>
        <w:rPr>
          <w:rFonts w:ascii="Arial" w:hAnsi="Arial" w:cs="Arial"/>
          <w:sz w:val="24"/>
          <w:szCs w:val="24"/>
        </w:rPr>
        <w:t xml:space="preserve">: Unweighted dB (linear/Z-scale), 1/3 octave bands, especially &lt;20 Hz. </w:t>
      </w:r>
      <w:r>
        <w:rPr>
          <w:rFonts w:ascii="Arial" w:hAnsi="Arial" w:cs="Arial"/>
          <w:b/>
          <w:bCs/>
          <w:sz w:val="24"/>
          <w:szCs w:val="24"/>
        </w:rPr>
        <w:t>Outcome</w:t>
      </w:r>
      <w:r>
        <w:rPr>
          <w:rFonts w:ascii="Arial" w:hAnsi="Arial" w:cs="Arial"/>
          <w:sz w:val="24"/>
          <w:szCs w:val="24"/>
        </w:rPr>
        <w:t>: A consistent 30+ dB differential with no internal sources proves structural resonance amplification.</w:t>
      </w:r>
    </w:p>
    <w:p w14:paraId="1B35F412" w14:textId="77777777" w:rsidR="00143226" w:rsidRPr="00143226" w:rsidRDefault="00000000" w:rsidP="00143226">
      <w:pPr>
        <w:spacing w:before="120" w:after="160"/>
        <w:jc w:val="both"/>
        <w:rPr>
          <w:rFonts w:ascii="Arial" w:hAnsi="Arial" w:cs="Arial"/>
          <w:sz w:val="24"/>
          <w:szCs w:val="24"/>
        </w:rPr>
      </w:pPr>
      <w:r>
        <w:rPr>
          <w:rFonts w:ascii="Arial" w:hAnsi="Arial" w:cs="Arial"/>
          <w:sz w:val="24"/>
          <w:szCs w:val="24"/>
        </w:rPr>
        <w:pict w14:anchorId="69F10E4E">
          <v:rect id="_x0000_i1028" style="width:0;height:1.5pt" o:hralign="center" o:hrstd="t" o:hr="t" fillcolor="#a0a0a0" stroked="f"/>
        </w:pict>
      </w:r>
    </w:p>
    <w:p w14:paraId="7FE12296" w14:textId="77777777" w:rsidR="00143226" w:rsidRPr="00143226" w:rsidRDefault="00143226" w:rsidP="00143226">
      <w:pPr>
        <w:spacing w:before="120" w:after="160"/>
        <w:jc w:val="both"/>
        <w:rPr>
          <w:rFonts w:ascii="Arial" w:hAnsi="Arial" w:cs="Arial"/>
          <w:b/>
          <w:bCs/>
          <w:sz w:val="24"/>
          <w:szCs w:val="24"/>
        </w:rPr>
      </w:pPr>
      <w:r>
        <w:rPr>
          <w:rFonts w:ascii="Arial" w:hAnsi="Arial" w:cs="Arial"/>
          <w:b/>
          <w:bCs/>
          <w:sz w:val="24"/>
          <w:szCs w:val="24"/>
        </w:rPr>
        <w:t>Experiment 4: Causation (Turbine On/Off)</w:t>
      </w:r>
    </w:p>
    <w:p w14:paraId="7AF8E2B4" w14:textId="77777777" w:rsidR="00143226" w:rsidRPr="00143226" w:rsidRDefault="00143226" w:rsidP="00143226">
      <w:pPr>
        <w:spacing w:before="120" w:after="160"/>
        <w:jc w:val="both"/>
        <w:rPr>
          <w:rFonts w:ascii="Arial" w:hAnsi="Arial" w:cs="Arial"/>
          <w:sz w:val="24"/>
          <w:szCs w:val="24"/>
        </w:rPr>
      </w:pPr>
      <w:r>
        <w:rPr>
          <w:rFonts w:ascii="Arial" w:hAnsi="Arial" w:cs="Arial"/>
          <w:b/>
          <w:bCs/>
          <w:sz w:val="24"/>
          <w:szCs w:val="24"/>
        </w:rPr>
        <w:t>Negative Hypothesis</w:t>
      </w:r>
      <w:r>
        <w:rPr>
          <w:rFonts w:ascii="Arial" w:hAnsi="Arial" w:cs="Arial"/>
          <w:sz w:val="24"/>
          <w:szCs w:val="24"/>
        </w:rPr>
        <w:t>: The high internal noise level (85 dB) inside the house will not drop significantly when the wind turbine stops rotating.</w:t>
      </w:r>
    </w:p>
    <w:p w14:paraId="391E0A4D" w14:textId="77777777" w:rsidR="00143226" w:rsidRPr="00143226" w:rsidRDefault="00143226" w:rsidP="00143226">
      <w:pPr>
        <w:spacing w:before="120" w:after="160"/>
        <w:jc w:val="both"/>
        <w:rPr>
          <w:rFonts w:ascii="Arial" w:hAnsi="Arial" w:cs="Arial"/>
          <w:sz w:val="24"/>
          <w:szCs w:val="24"/>
        </w:rPr>
      </w:pPr>
      <w:r>
        <w:rPr>
          <w:rFonts w:ascii="Arial" w:hAnsi="Arial" w:cs="Arial"/>
          <w:b/>
          <w:bCs/>
          <w:sz w:val="24"/>
          <w:szCs w:val="24"/>
        </w:rPr>
        <w:t>Design</w:t>
      </w:r>
      <w:r>
        <w:rPr>
          <w:rFonts w:ascii="Arial" w:hAnsi="Arial" w:cs="Arial"/>
          <w:sz w:val="24"/>
          <w:szCs w:val="24"/>
        </w:rPr>
        <w:t xml:space="preserve">: Before/After controlled test with replications. </w:t>
      </w:r>
      <w:r>
        <w:rPr>
          <w:rFonts w:ascii="Arial" w:hAnsi="Arial" w:cs="Arial"/>
          <w:b/>
          <w:bCs/>
          <w:sz w:val="24"/>
          <w:szCs w:val="24"/>
        </w:rPr>
        <w:t>Factor</w:t>
      </w:r>
      <w:r>
        <w:rPr>
          <w:rFonts w:ascii="Arial" w:hAnsi="Arial" w:cs="Arial"/>
          <w:sz w:val="24"/>
          <w:szCs w:val="24"/>
        </w:rPr>
        <w:t xml:space="preserve">: Turbine state (operating vs fully stopped). </w:t>
      </w:r>
      <w:r>
        <w:rPr>
          <w:rFonts w:ascii="Arial" w:hAnsi="Arial" w:cs="Arial"/>
          <w:b/>
          <w:bCs/>
          <w:sz w:val="24"/>
          <w:szCs w:val="24"/>
        </w:rPr>
        <w:t>Measurements</w:t>
      </w:r>
      <w:r>
        <w:rPr>
          <w:rFonts w:ascii="Arial" w:hAnsi="Arial" w:cs="Arial"/>
          <w:sz w:val="24"/>
          <w:szCs w:val="24"/>
        </w:rPr>
        <w:t xml:space="preserve">: Continuous internal noise recording (unweighted) during stable wind conditions, with turbine on and off. </w:t>
      </w:r>
      <w:r>
        <w:rPr>
          <w:rFonts w:ascii="Arial" w:hAnsi="Arial" w:cs="Arial"/>
          <w:b/>
          <w:bCs/>
          <w:sz w:val="24"/>
          <w:szCs w:val="24"/>
        </w:rPr>
        <w:t>Outcome</w:t>
      </w:r>
      <w:r>
        <w:rPr>
          <w:rFonts w:ascii="Arial" w:hAnsi="Arial" w:cs="Arial"/>
          <w:sz w:val="24"/>
          <w:szCs w:val="24"/>
        </w:rPr>
        <w:t>: Significant drop in internal levels when turbine is off proves direct causation.</w:t>
      </w:r>
    </w:p>
    <w:p w14:paraId="507E1000" w14:textId="77777777" w:rsidR="00143226" w:rsidRPr="00143226" w:rsidRDefault="00000000" w:rsidP="00143226">
      <w:pPr>
        <w:spacing w:before="120" w:after="160"/>
        <w:jc w:val="both"/>
        <w:rPr>
          <w:rFonts w:ascii="Arial" w:hAnsi="Arial" w:cs="Arial"/>
          <w:sz w:val="24"/>
          <w:szCs w:val="24"/>
        </w:rPr>
      </w:pPr>
      <w:r>
        <w:rPr>
          <w:rFonts w:ascii="Arial" w:hAnsi="Arial" w:cs="Arial"/>
          <w:sz w:val="24"/>
          <w:szCs w:val="24"/>
        </w:rPr>
        <w:pict w14:anchorId="5FBEBD78">
          <v:rect id="_x0000_i1029" style="width:0;height:1.5pt" o:hralign="center" o:hrstd="t" o:hr="t" fillcolor="#a0a0a0" stroked="f"/>
        </w:pict>
      </w:r>
    </w:p>
    <w:p w14:paraId="0F38BCA6" w14:textId="77777777" w:rsidR="00143226" w:rsidRPr="00143226" w:rsidRDefault="00143226" w:rsidP="00143226">
      <w:pPr>
        <w:spacing w:before="120" w:after="160"/>
        <w:jc w:val="both"/>
        <w:rPr>
          <w:rFonts w:ascii="Arial" w:hAnsi="Arial" w:cs="Arial"/>
          <w:b/>
          <w:bCs/>
          <w:sz w:val="24"/>
          <w:szCs w:val="24"/>
        </w:rPr>
      </w:pPr>
      <w:r>
        <w:rPr>
          <w:rFonts w:ascii="Arial" w:hAnsi="Arial" w:cs="Arial"/>
          <w:b/>
          <w:bCs/>
          <w:sz w:val="24"/>
          <w:szCs w:val="24"/>
        </w:rPr>
        <w:t>Experiment 5: Building Variability &amp; Geology</w:t>
      </w:r>
    </w:p>
    <w:p w14:paraId="0EA9EE52" w14:textId="77777777" w:rsidR="00143226" w:rsidRPr="00143226" w:rsidRDefault="00143226" w:rsidP="00143226">
      <w:pPr>
        <w:spacing w:before="120" w:after="160"/>
        <w:jc w:val="both"/>
        <w:rPr>
          <w:rFonts w:ascii="Arial" w:hAnsi="Arial" w:cs="Arial"/>
          <w:sz w:val="24"/>
          <w:szCs w:val="24"/>
        </w:rPr>
      </w:pPr>
      <w:r>
        <w:rPr>
          <w:rFonts w:ascii="Arial" w:hAnsi="Arial" w:cs="Arial"/>
          <w:b/>
          <w:bCs/>
          <w:sz w:val="24"/>
          <w:szCs w:val="24"/>
        </w:rPr>
        <w:t>Negative Hypothesis</w:t>
      </w:r>
      <w:r>
        <w:rPr>
          <w:rFonts w:ascii="Arial" w:hAnsi="Arial" w:cs="Arial"/>
          <w:sz w:val="24"/>
          <w:szCs w:val="24"/>
        </w:rPr>
        <w:t>: Houses at similar distances from the same turbine will not show large differences in internal vibration and noise response.</w:t>
      </w:r>
    </w:p>
    <w:p w14:paraId="2828743E" w14:textId="77777777" w:rsidR="00143226" w:rsidRPr="00143226" w:rsidRDefault="00143226" w:rsidP="00143226">
      <w:pPr>
        <w:spacing w:before="120" w:after="160"/>
        <w:jc w:val="both"/>
        <w:rPr>
          <w:rFonts w:ascii="Arial" w:hAnsi="Arial" w:cs="Arial"/>
          <w:sz w:val="24"/>
          <w:szCs w:val="24"/>
        </w:rPr>
      </w:pPr>
      <w:r>
        <w:rPr>
          <w:rFonts w:ascii="Arial" w:hAnsi="Arial" w:cs="Arial"/>
          <w:b/>
          <w:bCs/>
          <w:sz w:val="24"/>
          <w:szCs w:val="24"/>
        </w:rPr>
        <w:lastRenderedPageBreak/>
        <w:t>Design</w:t>
      </w:r>
      <w:r>
        <w:rPr>
          <w:rFonts w:ascii="Arial" w:hAnsi="Arial" w:cs="Arial"/>
          <w:sz w:val="24"/>
          <w:szCs w:val="24"/>
        </w:rPr>
        <w:t xml:space="preserve">: Comparative multi-house screening (Factorial or blocked design). </w:t>
      </w:r>
      <w:r>
        <w:rPr>
          <w:rFonts w:ascii="Arial" w:hAnsi="Arial" w:cs="Arial"/>
          <w:b/>
          <w:bCs/>
          <w:sz w:val="24"/>
          <w:szCs w:val="24"/>
        </w:rPr>
        <w:t>Factors</w:t>
      </w:r>
      <w:r>
        <w:rPr>
          <w:rFonts w:ascii="Arial" w:hAnsi="Arial" w:cs="Arial"/>
          <w:sz w:val="24"/>
          <w:szCs w:val="24"/>
        </w:rPr>
        <w:t xml:space="preserve">: House type / construction, geology along propagation path. </w:t>
      </w:r>
      <w:r>
        <w:rPr>
          <w:rFonts w:ascii="Arial" w:hAnsi="Arial" w:cs="Arial"/>
          <w:b/>
          <w:bCs/>
          <w:sz w:val="24"/>
          <w:szCs w:val="24"/>
        </w:rPr>
        <w:t>Measurements</w:t>
      </w:r>
      <w:r>
        <w:rPr>
          <w:rFonts w:ascii="Arial" w:hAnsi="Arial" w:cs="Arial"/>
          <w:sz w:val="24"/>
          <w:szCs w:val="24"/>
        </w:rPr>
        <w:t xml:space="preserve">: Internal noise, wall/foundation vibration, coherence to turbine. </w:t>
      </w:r>
      <w:r>
        <w:rPr>
          <w:rFonts w:ascii="Arial" w:hAnsi="Arial" w:cs="Arial"/>
          <w:b/>
          <w:bCs/>
          <w:sz w:val="24"/>
          <w:szCs w:val="24"/>
        </w:rPr>
        <w:t>Outcome</w:t>
      </w:r>
      <w:r>
        <w:rPr>
          <w:rFonts w:ascii="Arial" w:hAnsi="Arial" w:cs="Arial"/>
          <w:sz w:val="24"/>
          <w:szCs w:val="24"/>
        </w:rPr>
        <w:t>: Significant differences between houses (as you describe) disproves the hypothesis and supports geology + resonance as the explanation for variable impacts.</w:t>
      </w:r>
    </w:p>
    <w:p w14:paraId="330027B2" w14:textId="77777777" w:rsidR="00143226" w:rsidRPr="00143226" w:rsidRDefault="00000000" w:rsidP="00143226">
      <w:pPr>
        <w:spacing w:before="120" w:after="160"/>
        <w:jc w:val="both"/>
        <w:rPr>
          <w:rFonts w:ascii="Arial" w:hAnsi="Arial" w:cs="Arial"/>
          <w:sz w:val="24"/>
          <w:szCs w:val="24"/>
        </w:rPr>
      </w:pPr>
      <w:r>
        <w:rPr>
          <w:rFonts w:ascii="Arial" w:hAnsi="Arial" w:cs="Arial"/>
          <w:sz w:val="24"/>
          <w:szCs w:val="24"/>
        </w:rPr>
        <w:pict w14:anchorId="33779D74">
          <v:rect id="_x0000_i1030" style="width:0;height:1.5pt" o:hralign="center" o:hrstd="t" o:hr="t" fillcolor="#a0a0a0" stroked="f"/>
        </w:pict>
      </w:r>
    </w:p>
    <w:p w14:paraId="27FFA1D8" w14:textId="77777777" w:rsidR="00143226" w:rsidRPr="00143226" w:rsidRDefault="00143226" w:rsidP="00143226">
      <w:pPr>
        <w:spacing w:before="120" w:after="160"/>
        <w:jc w:val="both"/>
        <w:rPr>
          <w:rFonts w:ascii="Arial" w:hAnsi="Arial" w:cs="Arial"/>
          <w:b/>
          <w:bCs/>
          <w:sz w:val="24"/>
          <w:szCs w:val="24"/>
        </w:rPr>
      </w:pPr>
      <w:r>
        <w:rPr>
          <w:rFonts w:ascii="Arial" w:hAnsi="Arial" w:cs="Arial"/>
          <w:b/>
          <w:bCs/>
          <w:sz w:val="24"/>
          <w:szCs w:val="24"/>
        </w:rPr>
        <w:t>Summary</w:t>
      </w:r>
    </w:p>
    <w:p w14:paraId="14F0AE91" w14:textId="77777777" w:rsidR="00143226" w:rsidRPr="00143226" w:rsidRDefault="00143226" w:rsidP="00143226">
      <w:pPr>
        <w:spacing w:before="120" w:after="160"/>
        <w:jc w:val="both"/>
        <w:rPr>
          <w:rFonts w:ascii="Arial" w:hAnsi="Arial" w:cs="Arial"/>
          <w:sz w:val="24"/>
          <w:szCs w:val="24"/>
        </w:rPr>
      </w:pPr>
      <w:r>
        <w:rPr>
          <w:rFonts w:ascii="Arial" w:hAnsi="Arial" w:cs="Arial"/>
          <w:sz w:val="24"/>
          <w:szCs w:val="24"/>
        </w:rPr>
        <w:t>These five experiments form a complete, logical chain:</w:t>
      </w:r>
    </w:p>
    <w:p w14:paraId="7065B502" w14:textId="77777777" w:rsidR="00143226" w:rsidRPr="00143226" w:rsidRDefault="00143226" w:rsidP="00143226">
      <w:pPr>
        <w:numPr>
          <w:ilvl w:val="0"/>
          <w:numId w:val="3"/>
        </w:numPr>
        <w:spacing w:before="120" w:after="160"/>
        <w:jc w:val="both"/>
        <w:rPr>
          <w:rFonts w:ascii="Arial" w:hAnsi="Arial" w:cs="Arial"/>
          <w:sz w:val="24"/>
          <w:szCs w:val="24"/>
        </w:rPr>
      </w:pPr>
      <w:r>
        <w:rPr>
          <w:rFonts w:ascii="Arial" w:hAnsi="Arial" w:cs="Arial"/>
          <w:sz w:val="24"/>
          <w:szCs w:val="24"/>
        </w:rPr>
        <w:t>Can it be detected?</w:t>
      </w:r>
    </w:p>
    <w:p w14:paraId="08DE00BF" w14:textId="77777777" w:rsidR="00143226" w:rsidRPr="00143226" w:rsidRDefault="00143226" w:rsidP="00143226">
      <w:pPr>
        <w:numPr>
          <w:ilvl w:val="0"/>
          <w:numId w:val="3"/>
        </w:numPr>
        <w:spacing w:before="120" w:after="160"/>
        <w:jc w:val="both"/>
        <w:rPr>
          <w:rFonts w:ascii="Arial" w:hAnsi="Arial" w:cs="Arial"/>
          <w:sz w:val="24"/>
          <w:szCs w:val="24"/>
        </w:rPr>
      </w:pPr>
      <w:r>
        <w:rPr>
          <w:rFonts w:ascii="Arial" w:hAnsi="Arial" w:cs="Arial"/>
          <w:sz w:val="24"/>
          <w:szCs w:val="24"/>
        </w:rPr>
        <w:t>Can it be traced to the turbine?</w:t>
      </w:r>
    </w:p>
    <w:p w14:paraId="47CF4BF8" w14:textId="77777777" w:rsidR="00143226" w:rsidRPr="00143226" w:rsidRDefault="00143226" w:rsidP="00143226">
      <w:pPr>
        <w:numPr>
          <w:ilvl w:val="0"/>
          <w:numId w:val="3"/>
        </w:numPr>
        <w:spacing w:before="120" w:after="160"/>
        <w:jc w:val="both"/>
        <w:rPr>
          <w:rFonts w:ascii="Arial" w:hAnsi="Arial" w:cs="Arial"/>
          <w:sz w:val="24"/>
          <w:szCs w:val="24"/>
        </w:rPr>
      </w:pPr>
      <w:r>
        <w:rPr>
          <w:rFonts w:ascii="Arial" w:hAnsi="Arial" w:cs="Arial"/>
          <w:sz w:val="24"/>
          <w:szCs w:val="24"/>
        </w:rPr>
        <w:t>Does it cause amplification inside?</w:t>
      </w:r>
    </w:p>
    <w:p w14:paraId="76A245DA" w14:textId="77777777" w:rsidR="00143226" w:rsidRPr="00143226" w:rsidRDefault="00143226" w:rsidP="00143226">
      <w:pPr>
        <w:numPr>
          <w:ilvl w:val="0"/>
          <w:numId w:val="3"/>
        </w:numPr>
        <w:spacing w:before="120" w:after="160"/>
        <w:jc w:val="both"/>
        <w:rPr>
          <w:rFonts w:ascii="Arial" w:hAnsi="Arial" w:cs="Arial"/>
          <w:sz w:val="24"/>
          <w:szCs w:val="24"/>
        </w:rPr>
      </w:pPr>
      <w:r>
        <w:rPr>
          <w:rFonts w:ascii="Arial" w:hAnsi="Arial" w:cs="Arial"/>
          <w:sz w:val="24"/>
          <w:szCs w:val="24"/>
        </w:rPr>
        <w:t>Is the turbine the cause?</w:t>
      </w:r>
    </w:p>
    <w:p w14:paraId="4A5EB774" w14:textId="77777777" w:rsidR="00143226" w:rsidRPr="00143226" w:rsidRDefault="00143226" w:rsidP="00143226">
      <w:pPr>
        <w:numPr>
          <w:ilvl w:val="0"/>
          <w:numId w:val="3"/>
        </w:numPr>
        <w:spacing w:before="120" w:after="160"/>
        <w:jc w:val="both"/>
        <w:rPr>
          <w:rFonts w:ascii="Arial" w:hAnsi="Arial" w:cs="Arial"/>
          <w:sz w:val="24"/>
          <w:szCs w:val="24"/>
        </w:rPr>
      </w:pPr>
      <w:r>
        <w:rPr>
          <w:rFonts w:ascii="Arial" w:hAnsi="Arial" w:cs="Arial"/>
          <w:sz w:val="24"/>
          <w:szCs w:val="24"/>
        </w:rPr>
        <w:t>Why does it affect some houses and not others?</w:t>
      </w:r>
    </w:p>
    <w:p w14:paraId="2EB0AF57" w14:textId="77777777" w:rsidR="00143226" w:rsidRPr="00143226" w:rsidRDefault="00143226" w:rsidP="00143226">
      <w:pPr>
        <w:spacing w:before="120" w:after="160"/>
        <w:jc w:val="both"/>
        <w:rPr>
          <w:rFonts w:ascii="Arial" w:hAnsi="Arial" w:cs="Arial"/>
          <w:sz w:val="24"/>
          <w:szCs w:val="24"/>
        </w:rPr>
      </w:pPr>
      <w:r>
        <w:rPr>
          <w:rFonts w:ascii="Arial" w:hAnsi="Arial" w:cs="Arial"/>
          <w:sz w:val="24"/>
          <w:szCs w:val="24"/>
        </w:rPr>
        <w:t>All are falsifiable. Positive results (disproving the negative hypotheses) would provide strong scientific evidence supporting your open letter. They require no new physics — only proper measurement.</w:t>
      </w:r>
    </w:p>
    <w:p w14:paraId="075114CA" w14:textId="77777777" w:rsidR="00143226" w:rsidRPr="00143226" w:rsidRDefault="00143226">
      <w:pPr>
        <w:spacing w:before="120" w:after="160"/>
        <w:jc w:val="both"/>
        <w:rPr>
          <w:rFonts w:ascii="Arial" w:hAnsi="Arial" w:cs="Arial"/>
          <w:sz w:val="24"/>
          <w:szCs w:val="24"/>
        </w:rPr>
      </w:pPr>
    </w:p>
    <w:sectPr w:rsidR="00143226" w:rsidRPr="00143226">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3A9C" w14:textId="77777777" w:rsidR="00690CF7" w:rsidRDefault="00690CF7">
      <w:r>
        <w:separator/>
      </w:r>
    </w:p>
  </w:endnote>
  <w:endnote w:type="continuationSeparator" w:id="0">
    <w:p w14:paraId="3A1C2C4A" w14:textId="77777777" w:rsidR="00690CF7" w:rsidRDefault="0069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2788" w14:textId="77777777" w:rsidR="004F3C11" w:rsidRDefault="00000000">
    <w:pPr>
      <w:pBdr>
        <w:top w:val="single" w:sz="4" w:space="4" w:color="A4ABB1"/>
      </w:pBdr>
      <w:spacing w:before="80"/>
      <w:jc w:val="center"/>
    </w:pPr>
    <w:r>
      <w:rPr>
        <w:rFonts w:ascii="Arial" w:eastAsia="Arial" w:hAnsi="Arial" w:cs="Arial"/>
        <w:color w:val="A4ABB1"/>
        <w:sz w:val="18"/>
        <w:szCs w:val="18"/>
      </w:rPr>
      <w:t>Open Letter | Dave Ward | resonancesensor@gmail.com | wardeffect.com | wardscope.com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18B3" w14:textId="77777777" w:rsidR="00690CF7" w:rsidRDefault="00690CF7">
      <w:r>
        <w:separator/>
      </w:r>
    </w:p>
  </w:footnote>
  <w:footnote w:type="continuationSeparator" w:id="0">
    <w:p w14:paraId="71D9D922" w14:textId="77777777" w:rsidR="00690CF7" w:rsidRDefault="00690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98D"/>
    <w:multiLevelType w:val="multilevel"/>
    <w:tmpl w:val="24EE4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9729C7"/>
    <w:multiLevelType w:val="hybridMultilevel"/>
    <w:tmpl w:val="D652C3CE"/>
    <w:lvl w:ilvl="0" w:tplc="5D40E53C">
      <w:start w:val="1"/>
      <w:numFmt w:val="bullet"/>
      <w:lvlText w:val="•"/>
      <w:lvlJc w:val="left"/>
      <w:pPr>
        <w:ind w:left="720" w:hanging="360"/>
      </w:pPr>
    </w:lvl>
    <w:lvl w:ilvl="1" w:tplc="EB500C18">
      <w:numFmt w:val="decimal"/>
      <w:lvlText w:val=""/>
      <w:lvlJc w:val="left"/>
    </w:lvl>
    <w:lvl w:ilvl="2" w:tplc="5A724514">
      <w:numFmt w:val="decimal"/>
      <w:lvlText w:val=""/>
      <w:lvlJc w:val="left"/>
    </w:lvl>
    <w:lvl w:ilvl="3" w:tplc="8676ED66">
      <w:numFmt w:val="decimal"/>
      <w:lvlText w:val=""/>
      <w:lvlJc w:val="left"/>
    </w:lvl>
    <w:lvl w:ilvl="4" w:tplc="1F6612B0">
      <w:numFmt w:val="decimal"/>
      <w:lvlText w:val=""/>
      <w:lvlJc w:val="left"/>
    </w:lvl>
    <w:lvl w:ilvl="5" w:tplc="2774E0E0">
      <w:numFmt w:val="decimal"/>
      <w:lvlText w:val=""/>
      <w:lvlJc w:val="left"/>
    </w:lvl>
    <w:lvl w:ilvl="6" w:tplc="7BFC096E">
      <w:numFmt w:val="decimal"/>
      <w:lvlText w:val=""/>
      <w:lvlJc w:val="left"/>
    </w:lvl>
    <w:lvl w:ilvl="7" w:tplc="07E41A4A">
      <w:numFmt w:val="decimal"/>
      <w:lvlText w:val=""/>
      <w:lvlJc w:val="left"/>
    </w:lvl>
    <w:lvl w:ilvl="8" w:tplc="DDBE73FE">
      <w:numFmt w:val="decimal"/>
      <w:lvlText w:val=""/>
      <w:lvlJc w:val="left"/>
    </w:lvl>
  </w:abstractNum>
  <w:abstractNum w:abstractNumId="2" w15:restartNumberingAfterBreak="0">
    <w:nsid w:val="3FA96A5E"/>
    <w:multiLevelType w:val="hybridMultilevel"/>
    <w:tmpl w:val="FC7CAA76"/>
    <w:lvl w:ilvl="0" w:tplc="EB5A7FEA">
      <w:start w:val="1"/>
      <w:numFmt w:val="bullet"/>
      <w:lvlText w:val="●"/>
      <w:lvlJc w:val="left"/>
      <w:pPr>
        <w:ind w:left="720" w:hanging="360"/>
      </w:pPr>
    </w:lvl>
    <w:lvl w:ilvl="1" w:tplc="B6B83C2E">
      <w:start w:val="1"/>
      <w:numFmt w:val="bullet"/>
      <w:lvlText w:val="○"/>
      <w:lvlJc w:val="left"/>
      <w:pPr>
        <w:ind w:left="1440" w:hanging="360"/>
      </w:pPr>
    </w:lvl>
    <w:lvl w:ilvl="2" w:tplc="13B8DF68">
      <w:start w:val="1"/>
      <w:numFmt w:val="bullet"/>
      <w:lvlText w:val="■"/>
      <w:lvlJc w:val="left"/>
      <w:pPr>
        <w:ind w:left="2160" w:hanging="360"/>
      </w:pPr>
    </w:lvl>
    <w:lvl w:ilvl="3" w:tplc="30A0BC6A">
      <w:start w:val="1"/>
      <w:numFmt w:val="bullet"/>
      <w:lvlText w:val="●"/>
      <w:lvlJc w:val="left"/>
      <w:pPr>
        <w:ind w:left="2880" w:hanging="360"/>
      </w:pPr>
    </w:lvl>
    <w:lvl w:ilvl="4" w:tplc="DBA2826A">
      <w:start w:val="1"/>
      <w:numFmt w:val="bullet"/>
      <w:lvlText w:val="○"/>
      <w:lvlJc w:val="left"/>
      <w:pPr>
        <w:ind w:left="3600" w:hanging="360"/>
      </w:pPr>
    </w:lvl>
    <w:lvl w:ilvl="5" w:tplc="A1F4A854">
      <w:start w:val="1"/>
      <w:numFmt w:val="bullet"/>
      <w:lvlText w:val="■"/>
      <w:lvlJc w:val="left"/>
      <w:pPr>
        <w:ind w:left="4320" w:hanging="360"/>
      </w:pPr>
    </w:lvl>
    <w:lvl w:ilvl="6" w:tplc="3F60C0C0">
      <w:start w:val="1"/>
      <w:numFmt w:val="bullet"/>
      <w:lvlText w:val="●"/>
      <w:lvlJc w:val="left"/>
      <w:pPr>
        <w:ind w:left="5040" w:hanging="360"/>
      </w:pPr>
    </w:lvl>
    <w:lvl w:ilvl="7" w:tplc="22A0D61A">
      <w:start w:val="1"/>
      <w:numFmt w:val="bullet"/>
      <w:lvlText w:val="●"/>
      <w:lvlJc w:val="left"/>
      <w:pPr>
        <w:ind w:left="5760" w:hanging="360"/>
      </w:pPr>
    </w:lvl>
    <w:lvl w:ilvl="8" w:tplc="34A64CA4">
      <w:start w:val="1"/>
      <w:numFmt w:val="bullet"/>
      <w:lvlText w:val="●"/>
      <w:lvlJc w:val="left"/>
      <w:pPr>
        <w:ind w:left="6480" w:hanging="360"/>
      </w:pPr>
    </w:lvl>
  </w:abstractNum>
  <w:num w:numId="1" w16cid:durableId="1433166698">
    <w:abstractNumId w:val="2"/>
    <w:lvlOverride w:ilvl="0">
      <w:startOverride w:val="1"/>
    </w:lvlOverride>
  </w:num>
  <w:num w:numId="2" w16cid:durableId="1157459790">
    <w:abstractNumId w:val="1"/>
    <w:lvlOverride w:ilvl="0">
      <w:startOverride w:val="1"/>
    </w:lvlOverride>
  </w:num>
  <w:num w:numId="3" w16cid:durableId="62508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11"/>
    <w:rsid w:val="00110670"/>
    <w:rsid w:val="00121024"/>
    <w:rsid w:val="00143226"/>
    <w:rsid w:val="00172DD6"/>
    <w:rsid w:val="00197B8C"/>
    <w:rsid w:val="00246CEE"/>
    <w:rsid w:val="002E0923"/>
    <w:rsid w:val="002E3DF9"/>
    <w:rsid w:val="003C2AEC"/>
    <w:rsid w:val="003F2115"/>
    <w:rsid w:val="004F3C11"/>
    <w:rsid w:val="00530B5D"/>
    <w:rsid w:val="005B2FF6"/>
    <w:rsid w:val="00690CF7"/>
    <w:rsid w:val="006B0A28"/>
    <w:rsid w:val="00787D5E"/>
    <w:rsid w:val="0086346F"/>
    <w:rsid w:val="00935DE3"/>
    <w:rsid w:val="00956538"/>
    <w:rsid w:val="009D2384"/>
    <w:rsid w:val="00AB6566"/>
    <w:rsid w:val="00B000AB"/>
    <w:rsid w:val="00C0053D"/>
    <w:rsid w:val="00C979BC"/>
    <w:rsid w:val="00D5371C"/>
    <w:rsid w:val="00E277A9"/>
    <w:rsid w:val="00F626E9"/>
    <w:rsid w:val="00F81A20"/>
    <w:rsid w:val="00FA703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25F3"/>
  <w15:docId w15:val="{B3A34168-4B15-4B11-8130-F9E17D69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4496</Words>
  <Characters>27382</Characters>
  <Application>Microsoft Office Word</Application>
  <DocSecurity>0</DocSecurity>
  <Lines>421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Ward</cp:lastModifiedBy>
  <cp:revision>5</cp:revision>
  <dcterms:created xsi:type="dcterms:W3CDTF">2026-05-30T11:57:00Z</dcterms:created>
  <dcterms:modified xsi:type="dcterms:W3CDTF">2026-05-30T23:36:00Z</dcterms:modified>
</cp:coreProperties>
</file>